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customXML/itemProps5.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proofErr w:type="spellStart"/>
        <w:r w:rsidRPr="6922EE43">
          <w:rPr>
            <w:rStyle w:val="Hyperlink"/>
          </w:rPr>
          <w:t>netzerohub@bsg.ox.ac.uk</w:t>
        </w:r>
        <w:proofErr w:type="spellEnd"/>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7E6F12">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40"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6840C4B2" w:rsidR="00093CA9" w:rsidRDefault="00E40176" w:rsidP="00093CA9">
            <w:r>
              <w:t>Mintz</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46F8E00B" w:rsidR="00093CA9" w:rsidRDefault="00E40176" w:rsidP="00093CA9">
            <w:r>
              <w:t>California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420D667B" w:rsidR="00093CA9" w:rsidRDefault="00D0630B" w:rsidP="00093CA9">
            <w:r w:rsidRPr="00D0630B">
              <w:t>Onshore Well Regulations: Underground Gas Storage</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2E317B94" w:rsidR="00093CA9" w:rsidRDefault="00960424" w:rsidP="00093CA9">
            <w:hyperlink r:id="rId19" w:history="1">
              <w:r w:rsidRPr="00960424">
                <w:rPr>
                  <w:rStyle w:val="Hyperlink"/>
                </w:rPr>
                <w:t>/web/20250620174022/https://regulations.justia.com/states/california/title-14/division-2/chapter-4/subchapter-1/article-5/</w:t>
              </w:r>
            </w:hyperlink>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17AC22E6"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19218F9B"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17216270"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6CA2FC9" w:rsidR="00093CA9" w:rsidRDefault="00D0630B" w:rsidP="00093CA9">
            <w:r>
              <w:t>X</w:t>
            </w:r>
          </w:p>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008CCAB4" w:rsidR="00C66365" w:rsidRDefault="003005EB" w:rsidP="00093CA9">
            <w:r>
              <w:t>This policy tool</w:t>
            </w:r>
            <w:r w:rsidR="00C66365">
              <w:t xml:space="preserve"> sets forth </w:t>
            </w:r>
            <w:r>
              <w:t>regulations governing</w:t>
            </w:r>
            <w:r w:rsidR="00C66365">
              <w:t xml:space="preserve"> </w:t>
            </w:r>
            <w:r>
              <w:t xml:space="preserve">underground gas storage projects and gas storage wells. </w:t>
            </w:r>
            <w:r w:rsidR="00C66365">
              <w:t xml:space="preserve">This policy tool applies to both new gas storage projects and wells, </w:t>
            </w:r>
            <w:r w:rsidR="00DD75B6">
              <w:t xml:space="preserve">including </w:t>
            </w:r>
            <w:r w:rsidR="00C66365">
              <w:t>those in existence before th</w:t>
            </w:r>
            <w:r w:rsidR="006D04F3">
              <w:t>e</w:t>
            </w:r>
            <w:r w:rsidR="00C66365">
              <w:t xml:space="preserve"> policy tool was enacted. The policy tool imposes data collection and recordkeeping requirements on operators</w:t>
            </w:r>
            <w:r w:rsidR="006D04F3">
              <w:t xml:space="preserve"> of underground gas storage projects and wells</w:t>
            </w:r>
            <w:r w:rsidR="003A22E1">
              <w:t>, identifies specifications for wells,</w:t>
            </w:r>
            <w:r w:rsidR="00C66365">
              <w:t xml:space="preserve"> and requires the submission of a Risk Management Plan and an Emergency Response plan for each project. </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36ACC4DE" w:rsidR="00093CA9" w:rsidRDefault="00AA74F6"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4A52FA66" w:rsidR="00093CA9" w:rsidRPr="00173D7C" w:rsidRDefault="003A22E1" w:rsidP="00093CA9">
            <w:pPr>
              <w:rPr>
                <w:color w:val="000000" w:themeColor="text1"/>
              </w:rPr>
            </w:pPr>
            <w:r>
              <w:rPr>
                <w:color w:val="000000" w:themeColor="text1"/>
              </w:rPr>
              <w:t>2018</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3120BF13" w:rsidR="00093CA9" w:rsidRPr="00173D7C" w:rsidRDefault="003A22E1" w:rsidP="00093CA9">
            <w:pPr>
              <w:rPr>
                <w:color w:val="000000" w:themeColor="text1"/>
              </w:rPr>
            </w:pPr>
            <w:r>
              <w:rPr>
                <w:color w:val="000000" w:themeColor="text1"/>
              </w:rPr>
              <w:t>2018</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7A29E41E" w:rsidR="00093CA9" w:rsidRDefault="00AA74F6" w:rsidP="00093CA9">
            <w:r>
              <w:t>California State Legislature</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2AA1DF03" w:rsidR="00093CA9" w:rsidRPr="006B7B0D" w:rsidRDefault="00F53433" w:rsidP="00093CA9">
            <w:r>
              <w:t xml:space="preserve">California Department of Conservation, </w:t>
            </w:r>
            <w:r w:rsidR="00AA74F6" w:rsidRPr="00AA74F6">
              <w:t>Geologic Energy Management Division (</w:t>
            </w:r>
            <w:proofErr w:type="spellStart"/>
            <w:r w:rsidR="00AA74F6" w:rsidRPr="00AA74F6">
              <w:t>CalGEM</w:t>
            </w:r>
            <w:proofErr w:type="spellEnd"/>
            <w:r w:rsidR="00EF3D5A">
              <w:t xml:space="preserve"> or the “Division”</w:t>
            </w:r>
            <w:r w:rsidR="00AA74F6" w:rsidRPr="00AA74F6">
              <w:t>)</w:t>
            </w:r>
            <w:r w:rsidR="00AA74F6">
              <w:t xml:space="preserve"> </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7239987A" w:rsidR="00093CA9" w:rsidRPr="006B7B0D" w:rsidRDefault="00F53433"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2EB43B68" w:rsidR="00093CA9" w:rsidRPr="006B7B0D" w:rsidRDefault="00F53433" w:rsidP="00093CA9">
            <w:r>
              <w:t>California Public Utilities Commission</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504EFD17" w:rsidR="00093CA9" w:rsidRPr="006B7B0D" w:rsidRDefault="003A22E1" w:rsidP="00093CA9">
            <w:r>
              <w:t>X</w:t>
            </w:r>
          </w:p>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0B8EFC8A" w:rsidR="00093CA9" w:rsidRDefault="00F53433"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3DAE1897" w14:textId="042AACE2" w:rsidR="006D04F3" w:rsidRDefault="006D04F3" w:rsidP="00425CB0">
            <w:pPr>
              <w:autoSpaceDE w:val="0"/>
              <w:autoSpaceDN w:val="0"/>
              <w:adjustRightInd w:val="0"/>
              <w:snapToGrid w:val="0"/>
              <w:spacing w:before="0" w:after="0"/>
              <w:rPr>
                <w:color w:val="000000" w:themeColor="text1"/>
              </w:rPr>
            </w:pPr>
            <w:r>
              <w:rPr>
                <w:color w:val="000000" w:themeColor="text1"/>
              </w:rPr>
              <w:t>The following sections describe the monitoring systems in place:</w:t>
            </w:r>
          </w:p>
          <w:p w14:paraId="3CA10C3B" w14:textId="77777777" w:rsidR="006D04F3" w:rsidRDefault="00425CB0" w:rsidP="006D04F3">
            <w:pPr>
              <w:pStyle w:val="ListParagraph"/>
              <w:numPr>
                <w:ilvl w:val="0"/>
                <w:numId w:val="53"/>
              </w:numPr>
              <w:autoSpaceDE w:val="0"/>
              <w:autoSpaceDN w:val="0"/>
              <w:adjustRightInd w:val="0"/>
              <w:snapToGrid w:val="0"/>
              <w:spacing w:before="0" w:after="0"/>
              <w:rPr>
                <w:color w:val="000000" w:themeColor="text1"/>
                <w:lang w:val="en-US"/>
              </w:rPr>
            </w:pPr>
            <w:r w:rsidRPr="006D04F3">
              <w:rPr>
                <w:color w:val="000000" w:themeColor="text1"/>
              </w:rPr>
              <w:t>Section 1726.2(a) requires operators to obtain a Project Approval Letter from the Division before “</w:t>
            </w:r>
            <w:r w:rsidRPr="006D04F3">
              <w:rPr>
                <w:color w:val="000000" w:themeColor="text1"/>
                <w:lang w:val="en-US"/>
              </w:rPr>
              <w:t>any injection or withdrawal occurs as part of an underground gas storage project</w:t>
            </w:r>
            <w:r w:rsidR="003A22E1" w:rsidRPr="006D04F3">
              <w:rPr>
                <w:color w:val="000000" w:themeColor="text1"/>
                <w:lang w:val="en-US"/>
              </w:rPr>
              <w:t>.</w:t>
            </w:r>
            <w:r w:rsidRPr="006D04F3">
              <w:rPr>
                <w:color w:val="000000" w:themeColor="text1"/>
                <w:lang w:val="en-US"/>
              </w:rPr>
              <w:t xml:space="preserve">” </w:t>
            </w:r>
          </w:p>
          <w:p w14:paraId="1F9E1BD1" w14:textId="77777777" w:rsidR="006D04F3" w:rsidRPr="006D04F3" w:rsidRDefault="003A22E1" w:rsidP="006D04F3">
            <w:pPr>
              <w:pStyle w:val="ListParagraph"/>
              <w:numPr>
                <w:ilvl w:val="0"/>
                <w:numId w:val="53"/>
              </w:numPr>
              <w:autoSpaceDE w:val="0"/>
              <w:autoSpaceDN w:val="0"/>
              <w:adjustRightInd w:val="0"/>
              <w:snapToGrid w:val="0"/>
              <w:spacing w:before="0" w:after="0"/>
              <w:rPr>
                <w:color w:val="000000" w:themeColor="text1"/>
                <w:lang w:val="en-US"/>
              </w:rPr>
            </w:pPr>
            <w:r w:rsidRPr="006D04F3">
              <w:rPr>
                <w:color w:val="000000" w:themeColor="text1"/>
                <w:lang w:val="en-US"/>
              </w:rPr>
              <w:t>At least once every three years, t</w:t>
            </w:r>
            <w:r w:rsidR="00425CB0" w:rsidRPr="006D04F3">
              <w:rPr>
                <w:color w:val="000000" w:themeColor="text1"/>
                <w:lang w:val="en-US"/>
              </w:rPr>
              <w:t xml:space="preserve">he Division will review underground gas storage projects “to verify adherence to the terms and conditions of the Project Approval Letter and will periodically review the terms and conditions of the Project Approval Letter to ensure that they effectively prevent damage to life, health, property, the environment, and natural resources” (Section </w:t>
            </w:r>
            <w:r w:rsidR="00425CB0" w:rsidRPr="006D04F3">
              <w:rPr>
                <w:color w:val="000000" w:themeColor="text1"/>
              </w:rPr>
              <w:t>1726.2(b)).</w:t>
            </w:r>
            <w:r w:rsidR="00425CB0" w:rsidRPr="006D04F3">
              <w:rPr>
                <w:color w:val="000000" w:themeColor="text1"/>
                <w:lang w:val="en-US"/>
              </w:rPr>
              <w:t xml:space="preserve"> Further, “Project Approval Letters are subject to suspension, modification, or rescission by the Division” (Section </w:t>
            </w:r>
            <w:r w:rsidR="00425CB0" w:rsidRPr="006D04F3">
              <w:rPr>
                <w:color w:val="000000" w:themeColor="text1"/>
              </w:rPr>
              <w:t xml:space="preserve">1726.2(b)). </w:t>
            </w:r>
          </w:p>
          <w:p w14:paraId="050FB45A" w14:textId="77777777" w:rsidR="006D04F3" w:rsidRPr="006D04F3" w:rsidRDefault="00425CB0" w:rsidP="00425CB0">
            <w:pPr>
              <w:pStyle w:val="ListParagraph"/>
              <w:numPr>
                <w:ilvl w:val="0"/>
                <w:numId w:val="53"/>
              </w:numPr>
              <w:autoSpaceDE w:val="0"/>
              <w:autoSpaceDN w:val="0"/>
              <w:adjustRightInd w:val="0"/>
              <w:snapToGrid w:val="0"/>
              <w:spacing w:before="0" w:after="0"/>
              <w:rPr>
                <w:color w:val="000000" w:themeColor="text1"/>
                <w:lang w:val="en-US"/>
              </w:rPr>
            </w:pPr>
            <w:r w:rsidRPr="006D04F3">
              <w:rPr>
                <w:color w:val="000000" w:themeColor="text1"/>
              </w:rPr>
              <w:t xml:space="preserve">Operators are also required to submit to the Division project-specific Risk Management Plans, which the Division will review (Section 1726.3(a)). </w:t>
            </w:r>
          </w:p>
          <w:p w14:paraId="1FEB6275" w14:textId="77777777" w:rsidR="006D04F3" w:rsidRPr="006D04F3" w:rsidRDefault="00F53433" w:rsidP="00425CB0">
            <w:pPr>
              <w:pStyle w:val="ListParagraph"/>
              <w:numPr>
                <w:ilvl w:val="0"/>
                <w:numId w:val="53"/>
              </w:numPr>
              <w:autoSpaceDE w:val="0"/>
              <w:autoSpaceDN w:val="0"/>
              <w:adjustRightInd w:val="0"/>
              <w:snapToGrid w:val="0"/>
              <w:spacing w:before="0" w:after="0"/>
              <w:rPr>
                <w:color w:val="000000" w:themeColor="text1"/>
                <w:lang w:val="en-US"/>
              </w:rPr>
            </w:pPr>
            <w:r w:rsidRPr="006D04F3">
              <w:rPr>
                <w:color w:val="000000" w:themeColor="text1"/>
              </w:rPr>
              <w:t xml:space="preserve">Section 1726.4(a) requires operators of underground storage projects to provide the Division with data, analysis, and interpretation “that demonstrate that stored gas will be confined to the approved zone(s) of injection and that the underground gas storage project will not cause damage to life, health, property, the environment, or natural resources” (see Section 1726.4(a)(1)-(6) for required information). </w:t>
            </w:r>
          </w:p>
          <w:p w14:paraId="106E7D89" w14:textId="79D29D59" w:rsidR="006D04F3" w:rsidRDefault="00F53433" w:rsidP="00425CB0">
            <w:pPr>
              <w:pStyle w:val="ListParagraph"/>
              <w:numPr>
                <w:ilvl w:val="0"/>
                <w:numId w:val="53"/>
              </w:numPr>
              <w:autoSpaceDE w:val="0"/>
              <w:autoSpaceDN w:val="0"/>
              <w:adjustRightInd w:val="0"/>
              <w:snapToGrid w:val="0"/>
              <w:spacing w:before="0" w:after="0"/>
              <w:rPr>
                <w:color w:val="000000" w:themeColor="text1"/>
                <w:lang w:val="en-US"/>
              </w:rPr>
            </w:pPr>
            <w:r w:rsidRPr="006D04F3">
              <w:rPr>
                <w:color w:val="000000" w:themeColor="text1"/>
              </w:rPr>
              <w:t>Section 1726.4(f) provides that “</w:t>
            </w:r>
            <w:r w:rsidRPr="006D04F3">
              <w:rPr>
                <w:color w:val="000000" w:themeColor="text1"/>
                <w:lang w:val="en-US"/>
              </w:rPr>
              <w:t>The Division will make all data received under this section available to the California Public Utilities Commission upon request</w:t>
            </w:r>
            <w:r w:rsidR="003A22E1" w:rsidRPr="006D04F3">
              <w:rPr>
                <w:color w:val="000000" w:themeColor="text1"/>
                <w:lang w:val="en-US"/>
              </w:rPr>
              <w:t>.”</w:t>
            </w:r>
          </w:p>
          <w:p w14:paraId="53DB322F" w14:textId="381B7544" w:rsidR="003A22E1" w:rsidRPr="006D04F3" w:rsidRDefault="003A22E1" w:rsidP="00425CB0">
            <w:pPr>
              <w:pStyle w:val="ListParagraph"/>
              <w:numPr>
                <w:ilvl w:val="0"/>
                <w:numId w:val="53"/>
              </w:numPr>
              <w:autoSpaceDE w:val="0"/>
              <w:autoSpaceDN w:val="0"/>
              <w:adjustRightInd w:val="0"/>
              <w:snapToGrid w:val="0"/>
              <w:spacing w:before="0" w:after="0"/>
              <w:rPr>
                <w:color w:val="000000" w:themeColor="text1"/>
                <w:lang w:val="en-US"/>
              </w:rPr>
            </w:pPr>
            <w:r w:rsidRPr="006D04F3">
              <w:rPr>
                <w:color w:val="000000" w:themeColor="text1"/>
                <w:lang w:val="en-US"/>
              </w:rPr>
              <w:t>Section 1726.4.4 imposes recordkeeping requirements on operators and provides that</w:t>
            </w:r>
            <w:r w:rsidRPr="006D04F3">
              <w:rPr>
                <w:rFonts w:ascii="Segoe UI" w:hAnsi="Segoe UI" w:cs="Segoe UI"/>
                <w:color w:val="212121"/>
                <w:sz w:val="18"/>
                <w:szCs w:val="18"/>
                <w:shd w:val="clear" w:color="auto" w:fill="FFFFFF"/>
              </w:rPr>
              <w:t xml:space="preserve"> </w:t>
            </w:r>
            <w:r w:rsidRPr="006D04F3">
              <w:rPr>
                <w:color w:val="000000" w:themeColor="text1"/>
              </w:rPr>
              <w:t>the “Records Management Program shall allow for prompt retrieval and production of records upon request from the Division.”</w:t>
            </w:r>
          </w:p>
          <w:p w14:paraId="2C2128DB" w14:textId="3586DF2F" w:rsidR="00F53433" w:rsidRPr="008017F9" w:rsidRDefault="00F53433" w:rsidP="003A22E1">
            <w:pPr>
              <w:autoSpaceDE w:val="0"/>
              <w:autoSpaceDN w:val="0"/>
              <w:adjustRightInd w:val="0"/>
              <w:snapToGrid w:val="0"/>
              <w:spacing w:before="0" w:after="0"/>
              <w:rPr>
                <w:color w:val="000000" w:themeColor="text1"/>
              </w:rPr>
            </w:pP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proofErr w:type="gramStart"/>
            <w:r>
              <w:t>Publicly-traded</w:t>
            </w:r>
            <w:proofErr w:type="gramEnd"/>
            <w:r>
              <w:t xml:space="preserve">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EB7FED"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proofErr w:type="gramStart"/>
            <w:r>
              <w:t>Externally-defined</w:t>
            </w:r>
            <w:proofErr w:type="gramEnd"/>
            <w:r>
              <w:t xml:space="preserve">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proofErr w:type="gramStart"/>
            <w:r>
              <w:t>Externally-defined</w:t>
            </w:r>
            <w:proofErr w:type="gramEnd"/>
            <w:r>
              <w:t xml:space="preserve">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EB7FE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 xml:space="preserve">transition </w:t>
            </w:r>
            <w:proofErr w:type="gramStart"/>
            <w:r w:rsidR="00CB4EBD" w:rsidRPr="00C37D48">
              <w:rPr>
                <w:rFonts w:ascii="Calibri" w:hAnsi="Calibri" w:cs="Calibri"/>
                <w:b/>
                <w:color w:val="7030A0"/>
              </w:rPr>
              <w:t>plans</w:t>
            </w:r>
            <w:r w:rsidRPr="00C37D48">
              <w:rPr>
                <w:rFonts w:ascii="Calibri" w:hAnsi="Calibri" w:cs="Calibri"/>
              </w:rPr>
              <w:t>, and</w:t>
            </w:r>
            <w:proofErr w:type="gramEnd"/>
            <w:r w:rsidRPr="00C37D48">
              <w:rPr>
                <w:rFonts w:ascii="Calibri" w:hAnsi="Calibri" w:cs="Calibri"/>
              </w:rPr>
              <w:t xml:space="preserve">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EB7FE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t>
            </w:r>
            <w:proofErr w:type="gramStart"/>
            <w:r w:rsidRPr="00971C0E">
              <w:rPr>
                <w:rStyle w:val="normaltextrun"/>
                <w:rFonts w:cstheme="minorHAnsi"/>
                <w:color w:val="000000"/>
                <w:lang w:val="en-US"/>
              </w:rPr>
              <w:t>with regard to</w:t>
            </w:r>
            <w:proofErr w:type="gramEnd"/>
            <w:r w:rsidRPr="00971C0E">
              <w:rPr>
                <w:rStyle w:val="normaltextrun"/>
                <w:rFonts w:cstheme="minorHAnsi"/>
                <w:color w:val="000000"/>
                <w:lang w:val="en-US"/>
              </w:rPr>
              <w:t xml:space="preserve">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t>
            </w:r>
            <w:proofErr w:type="gramStart"/>
            <w:r w:rsidR="00582798" w:rsidRPr="00971C0E">
              <w:rPr>
                <w:rStyle w:val="normaltextrun"/>
                <w:rFonts w:cstheme="minorHAnsi"/>
                <w:color w:val="000000"/>
                <w:lang w:val="en-US"/>
              </w:rPr>
              <w:t>with regard to</w:t>
            </w:r>
            <w:proofErr w:type="gramEnd"/>
            <w:r w:rsidR="00582798" w:rsidRPr="00971C0E">
              <w:rPr>
                <w:rStyle w:val="normaltextrun"/>
                <w:rFonts w:cstheme="minorHAnsi"/>
                <w:color w:val="000000"/>
                <w:lang w:val="en-US"/>
              </w:rPr>
              <w:t xml:space="preserve">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w:t>
            </w:r>
            <w:proofErr w:type="gramStart"/>
            <w:r w:rsidR="008A4685" w:rsidRPr="00610F28">
              <w:rPr>
                <w:rStyle w:val="normaltextrun"/>
                <w:rFonts w:ascii="Calibri" w:hAnsi="Calibri" w:cs="Calibri"/>
                <w:lang w:val="en-US"/>
              </w:rPr>
              <w:t>through the use of</w:t>
            </w:r>
            <w:proofErr w:type="gramEnd"/>
            <w:r w:rsidR="008A4685" w:rsidRPr="00610F28">
              <w:rPr>
                <w:rStyle w:val="normaltextrun"/>
                <w:rFonts w:ascii="Calibri" w:hAnsi="Calibri" w:cs="Calibri"/>
                <w:lang w:val="en-US"/>
              </w:rPr>
              <w:t xml:space="preserve">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EB7FED"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EB7FED"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0"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1"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7A0A6A16" w:rsidR="002F0752" w:rsidRPr="00CF2E7C" w:rsidRDefault="00425CB0" w:rsidP="00CF2E7C">
            <w:pPr>
              <w:rPr>
                <w:rFonts w:ascii="Calibri" w:hAnsi="Calibri" w:cs="Calibri"/>
              </w:rPr>
            </w:pPr>
            <w:r>
              <w:rPr>
                <w:rFonts w:ascii="Calibri" w:hAnsi="Calibri" w:cs="Calibri"/>
              </w:rPr>
              <w:t>X</w:t>
            </w: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C94D41C" w:rsidR="002F0752" w:rsidRPr="00CF2E7C" w:rsidRDefault="00425CB0" w:rsidP="00CF2E7C">
            <w:pPr>
              <w:rPr>
                <w:rFonts w:ascii="Calibri" w:hAnsi="Calibri" w:cs="Calibri"/>
              </w:rPr>
            </w:pPr>
            <w:r>
              <w:rPr>
                <w:rFonts w:ascii="Calibri" w:hAnsi="Calibri" w:cs="Calibri"/>
              </w:rPr>
              <w:t>X</w:t>
            </w: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327EC653" w:rsidR="002F0752" w:rsidRPr="00CF2E7C" w:rsidRDefault="00425CB0" w:rsidP="00CF2E7C">
            <w:pPr>
              <w:rPr>
                <w:rFonts w:ascii="Calibri" w:hAnsi="Calibri" w:cs="Calibri"/>
              </w:rPr>
            </w:pPr>
            <w:r>
              <w:rPr>
                <w:rFonts w:ascii="Calibri" w:hAnsi="Calibri" w:cs="Calibri"/>
              </w:rPr>
              <w:t>X</w:t>
            </w: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49A3BC4" w:rsidR="002F0752" w:rsidRPr="00CF2E7C" w:rsidRDefault="00425CB0" w:rsidP="00CF2E7C">
            <w:pPr>
              <w:rPr>
                <w:rFonts w:ascii="Calibri" w:hAnsi="Calibri" w:cs="Calibri"/>
              </w:rPr>
            </w:pPr>
            <w:r>
              <w:rPr>
                <w:rFonts w:ascii="Calibri" w:hAnsi="Calibri" w:cs="Calibri"/>
              </w:rPr>
              <w:t>X</w:t>
            </w: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5BF3C94F" w:rsidR="002F0752" w:rsidRPr="00CF2E7C" w:rsidRDefault="00425CB0" w:rsidP="00CF2E7C">
            <w:pPr>
              <w:rPr>
                <w:rFonts w:ascii="Calibri" w:hAnsi="Calibri" w:cs="Calibri"/>
              </w:rPr>
            </w:pPr>
            <w:r>
              <w:rPr>
                <w:rFonts w:ascii="Calibri" w:hAnsi="Calibri" w:cs="Calibri"/>
              </w:rPr>
              <w:t>X</w:t>
            </w: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448B23D6" w:rsidR="002F0752" w:rsidRPr="00CF2E7C" w:rsidRDefault="00425CB0" w:rsidP="00CF2E7C">
            <w:pPr>
              <w:rPr>
                <w:rFonts w:ascii="Calibri" w:hAnsi="Calibri" w:cs="Calibri"/>
              </w:rPr>
            </w:pPr>
            <w:r>
              <w:rPr>
                <w:rFonts w:ascii="Calibri" w:hAnsi="Calibri" w:cs="Calibri"/>
              </w:rPr>
              <w:t>X</w:t>
            </w: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28EA9FBC" w:rsidR="002F0752" w:rsidRPr="00CF2E7C" w:rsidRDefault="00425CB0" w:rsidP="00CF2E7C">
            <w:pPr>
              <w:rPr>
                <w:rFonts w:ascii="Calibri" w:hAnsi="Calibri" w:cs="Calibri"/>
              </w:rPr>
            </w:pPr>
            <w:r>
              <w:rPr>
                <w:rFonts w:ascii="Calibri" w:hAnsi="Calibri" w:cs="Calibri"/>
              </w:rPr>
              <w:t>X</w:t>
            </w: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4BFEC4B7" w:rsidR="002F0752" w:rsidRPr="00CF2E7C" w:rsidRDefault="00425CB0" w:rsidP="00CF2E7C">
            <w:pPr>
              <w:rPr>
                <w:rFonts w:ascii="Calibri" w:hAnsi="Calibri" w:cs="Calibri"/>
              </w:rPr>
            </w:pPr>
            <w:r>
              <w:rPr>
                <w:rFonts w:ascii="Calibri" w:hAnsi="Calibri" w:cs="Calibri"/>
              </w:rPr>
              <w:t>X</w:t>
            </w: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07CD7D05" w:rsidR="002F0752" w:rsidRPr="00CF2E7C" w:rsidRDefault="00425CB0" w:rsidP="00CF2E7C">
            <w:pPr>
              <w:rPr>
                <w:rFonts w:ascii="Calibri" w:hAnsi="Calibri" w:cs="Calibri"/>
              </w:rPr>
            </w:pPr>
            <w:r>
              <w:rPr>
                <w:rFonts w:ascii="Calibri" w:hAnsi="Calibri" w:cs="Calibri"/>
              </w:rPr>
              <w:t>X</w:t>
            </w: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141E8CD" w:rsidR="002F0752" w:rsidRPr="00CF2E7C" w:rsidRDefault="00425CB0" w:rsidP="00CF2E7C">
            <w:pPr>
              <w:rPr>
                <w:rFonts w:ascii="Calibri" w:hAnsi="Calibri" w:cs="Calibri"/>
              </w:rPr>
            </w:pPr>
            <w:r>
              <w:rPr>
                <w:rFonts w:ascii="Calibri" w:hAnsi="Calibri" w:cs="Calibri"/>
              </w:rPr>
              <w:t>X</w:t>
            </w: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088D0553" w:rsidR="002F0752" w:rsidRPr="00CF2E7C" w:rsidRDefault="00425CB0" w:rsidP="00CF2E7C">
            <w:pPr>
              <w:rPr>
                <w:rFonts w:ascii="Calibri" w:hAnsi="Calibri" w:cs="Calibri"/>
              </w:rPr>
            </w:pPr>
            <w:r>
              <w:rPr>
                <w:rFonts w:ascii="Calibri" w:hAnsi="Calibri" w:cs="Calibri"/>
              </w:rPr>
              <w:t>X</w:t>
            </w: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0DC09F1D" w:rsidR="002F0752" w:rsidRPr="00CF2E7C" w:rsidRDefault="000D3880" w:rsidP="00CF2E7C">
            <w:pPr>
              <w:rPr>
                <w:rFonts w:ascii="Calibri" w:hAnsi="Calibri" w:cs="Calibri"/>
              </w:rPr>
            </w:pPr>
            <w:r>
              <w:rPr>
                <w:rFonts w:ascii="Calibri" w:hAnsi="Calibri" w:cs="Calibri"/>
              </w:rPr>
              <w:t>X</w:t>
            </w: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107C5B20"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25FE6BEC" w:rsidR="002F0752" w:rsidRPr="00CF2E7C" w:rsidRDefault="000D3880" w:rsidP="00CF2E7C">
            <w:pPr>
              <w:rPr>
                <w:rFonts w:ascii="Calibri" w:hAnsi="Calibri" w:cs="Calibri"/>
              </w:rPr>
            </w:pPr>
            <w:r>
              <w:rPr>
                <w:rFonts w:ascii="Calibri" w:hAnsi="Calibri" w:cs="Calibri"/>
              </w:rPr>
              <w:t>X</w:t>
            </w: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03CC3E3"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2C7F10F5" w:rsidR="002F0752" w:rsidRPr="00CF2E7C" w:rsidRDefault="000D3880" w:rsidP="00CF2E7C">
            <w:pPr>
              <w:rPr>
                <w:rFonts w:ascii="Calibri" w:hAnsi="Calibri" w:cs="Calibri"/>
              </w:rPr>
            </w:pPr>
            <w:r>
              <w:rPr>
                <w:rFonts w:ascii="Calibri" w:hAnsi="Calibri" w:cs="Calibri"/>
              </w:rPr>
              <w:t>X</w:t>
            </w: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21BA40C7" w:rsidR="002F0752" w:rsidRPr="00CF2E7C" w:rsidRDefault="000D3880" w:rsidP="00CF2E7C">
            <w:pPr>
              <w:rPr>
                <w:rFonts w:ascii="Calibri" w:hAnsi="Calibri" w:cs="Calibri"/>
              </w:rPr>
            </w:pPr>
            <w:r>
              <w:rPr>
                <w:rFonts w:ascii="Calibri" w:hAnsi="Calibri" w:cs="Calibri"/>
              </w:rPr>
              <w:t>X</w:t>
            </w: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6353EED6" w:rsidR="002F0752" w:rsidRPr="00CF2E7C" w:rsidRDefault="000D3880" w:rsidP="00CF2E7C">
            <w:pPr>
              <w:rPr>
                <w:rFonts w:ascii="Calibri" w:hAnsi="Calibri" w:cs="Calibri"/>
              </w:rPr>
            </w:pPr>
            <w:r>
              <w:rPr>
                <w:rFonts w:ascii="Calibri" w:hAnsi="Calibri" w:cs="Calibri"/>
              </w:rPr>
              <w:t>X</w:t>
            </w: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68DE7435"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0153C77F" w:rsidR="002F0752" w:rsidRPr="00CF2E7C" w:rsidRDefault="000D3880" w:rsidP="00CF2E7C">
            <w:pPr>
              <w:rPr>
                <w:rFonts w:ascii="Calibri" w:hAnsi="Calibri" w:cs="Calibri"/>
              </w:rPr>
            </w:pPr>
            <w:r>
              <w:rPr>
                <w:rFonts w:ascii="Calibri" w:hAnsi="Calibri" w:cs="Calibri"/>
              </w:rPr>
              <w:t>X</w:t>
            </w: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06190545" w:rsidR="002F0752" w:rsidRPr="00CF2E7C" w:rsidRDefault="000D3880" w:rsidP="00CF2E7C">
            <w:pPr>
              <w:rPr>
                <w:rFonts w:ascii="Calibri" w:hAnsi="Calibri" w:cs="Calibri"/>
              </w:rPr>
            </w:pPr>
            <w:r>
              <w:rPr>
                <w:rFonts w:ascii="Calibri" w:hAnsi="Calibri" w:cs="Calibri"/>
              </w:rPr>
              <w:t>X</w:t>
            </w: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08EBC90A" w:rsidR="002F0752" w:rsidRPr="00CF2E7C" w:rsidRDefault="000D3880" w:rsidP="00CF2E7C">
            <w:pPr>
              <w:rPr>
                <w:rFonts w:ascii="Calibri" w:hAnsi="Calibri" w:cs="Calibri"/>
              </w:rPr>
            </w:pPr>
            <w:r>
              <w:rPr>
                <w:rFonts w:ascii="Calibri" w:hAnsi="Calibri" w:cs="Calibri"/>
              </w:rPr>
              <w:t>X</w:t>
            </w: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588C409B" w:rsidR="002F0752" w:rsidRPr="00CF2E7C" w:rsidRDefault="000D3880" w:rsidP="00CF2E7C">
            <w:pPr>
              <w:rPr>
                <w:rFonts w:ascii="Calibri" w:hAnsi="Calibri" w:cs="Calibri"/>
              </w:rPr>
            </w:pPr>
            <w:r>
              <w:rPr>
                <w:rFonts w:ascii="Calibri" w:hAnsi="Calibri" w:cs="Calibri"/>
              </w:rPr>
              <w:t>X</w:t>
            </w: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17976F2E" w:rsidR="002F0752" w:rsidRPr="00CF2E7C" w:rsidRDefault="000D3880" w:rsidP="00CF2E7C">
            <w:pPr>
              <w:rPr>
                <w:rFonts w:ascii="Calibri" w:hAnsi="Calibri" w:cs="Calibri"/>
              </w:rPr>
            </w:pPr>
            <w:r>
              <w:rPr>
                <w:rFonts w:ascii="Calibri" w:hAnsi="Calibri" w:cs="Calibri"/>
              </w:rPr>
              <w:t>X</w:t>
            </w: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279100D8" w:rsidR="002F0752" w:rsidRPr="00CF2E7C" w:rsidRDefault="000D3880" w:rsidP="00CF2E7C">
            <w:pPr>
              <w:rPr>
                <w:rFonts w:ascii="Calibri" w:hAnsi="Calibri" w:cs="Calibri"/>
              </w:rPr>
            </w:pPr>
            <w:r>
              <w:rPr>
                <w:rFonts w:ascii="Calibri" w:hAnsi="Calibri" w:cs="Calibri"/>
              </w:rPr>
              <w:t>X</w:t>
            </w: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00DA1CBD" w:rsidR="002F0752" w:rsidRPr="00CF2E7C" w:rsidRDefault="000D3880" w:rsidP="00CF2E7C">
            <w:pPr>
              <w:rPr>
                <w:rFonts w:ascii="Calibri" w:hAnsi="Calibri" w:cs="Calibri"/>
              </w:rPr>
            </w:pPr>
            <w:r>
              <w:rPr>
                <w:rFonts w:ascii="Calibri" w:hAnsi="Calibri" w:cs="Calibri"/>
              </w:rPr>
              <w:t>X</w:t>
            </w: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4A8D2FF6" w:rsidR="002F0752" w:rsidRPr="00CF2E7C" w:rsidRDefault="000D3880" w:rsidP="00CF2E7C">
            <w:pPr>
              <w:rPr>
                <w:rFonts w:ascii="Calibri" w:hAnsi="Calibri" w:cs="Calibri"/>
              </w:rPr>
            </w:pPr>
            <w:r>
              <w:rPr>
                <w:rFonts w:ascii="Calibri" w:hAnsi="Calibri" w:cs="Calibri"/>
              </w:rPr>
              <w:t>X</w:t>
            </w: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2575DE24" w:rsidR="002F0752" w:rsidRPr="00CF2E7C" w:rsidRDefault="000D3880" w:rsidP="00CF2E7C">
            <w:pPr>
              <w:rPr>
                <w:rFonts w:ascii="Calibri" w:hAnsi="Calibri" w:cs="Calibri"/>
              </w:rPr>
            </w:pPr>
            <w:r>
              <w:rPr>
                <w:rFonts w:ascii="Calibri" w:hAnsi="Calibri" w:cs="Calibri"/>
              </w:rPr>
              <w:t>X</w:t>
            </w: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35D7CDFD" w:rsidR="002F0752" w:rsidRPr="00CF2E7C" w:rsidRDefault="000D3880" w:rsidP="00CF2E7C">
            <w:pPr>
              <w:rPr>
                <w:rFonts w:ascii="Calibri" w:hAnsi="Calibri" w:cs="Calibri"/>
              </w:rPr>
            </w:pPr>
            <w:r>
              <w:rPr>
                <w:rFonts w:ascii="Calibri" w:hAnsi="Calibri" w:cs="Calibri"/>
              </w:rPr>
              <w:t>X</w:t>
            </w: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3306449E" w:rsidR="002F0752" w:rsidRPr="00CF2E7C" w:rsidRDefault="000D3880" w:rsidP="00CF2E7C">
            <w:pPr>
              <w:rPr>
                <w:rFonts w:ascii="Calibri" w:hAnsi="Calibri" w:cs="Calibri"/>
              </w:rPr>
            </w:pPr>
            <w:r>
              <w:rPr>
                <w:rFonts w:ascii="Calibri" w:hAnsi="Calibri" w:cs="Calibri"/>
              </w:rPr>
              <w:t>X</w:t>
            </w: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128335D9" w:rsidR="002F0752" w:rsidRPr="00CF2E7C" w:rsidRDefault="000D3880" w:rsidP="00CF2E7C">
            <w:pPr>
              <w:rPr>
                <w:rFonts w:ascii="Calibri" w:hAnsi="Calibri" w:cs="Calibri"/>
              </w:rPr>
            </w:pPr>
            <w:r>
              <w:rPr>
                <w:rFonts w:ascii="Calibri" w:hAnsi="Calibri" w:cs="Calibri"/>
              </w:rPr>
              <w:t>X</w:t>
            </w: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4EB56E25" w:rsidR="002F0752" w:rsidRPr="00CF2E7C" w:rsidRDefault="000D3880" w:rsidP="00CF2E7C">
            <w:pPr>
              <w:rPr>
                <w:rFonts w:ascii="Calibri" w:hAnsi="Calibri" w:cs="Calibri"/>
              </w:rPr>
            </w:pPr>
            <w:r>
              <w:rPr>
                <w:rFonts w:ascii="Calibri" w:hAnsi="Calibri" w:cs="Calibri"/>
              </w:rPr>
              <w:t>X</w:t>
            </w: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214F50A5" w:rsidR="002F0752" w:rsidRPr="00CF2E7C" w:rsidRDefault="000D3880" w:rsidP="00CF2E7C">
            <w:pPr>
              <w:rPr>
                <w:rFonts w:ascii="Calibri" w:hAnsi="Calibri" w:cs="Calibri"/>
              </w:rPr>
            </w:pPr>
            <w:r>
              <w:rPr>
                <w:rFonts w:ascii="Calibri" w:hAnsi="Calibri" w:cs="Calibri"/>
              </w:rPr>
              <w:t>X</w:t>
            </w: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AD57D30" w:rsidR="002F0752" w:rsidRPr="00CF2E7C" w:rsidRDefault="000D3880" w:rsidP="00CF2E7C">
            <w:pPr>
              <w:rPr>
                <w:rFonts w:ascii="Calibri" w:hAnsi="Calibri" w:cs="Calibri"/>
              </w:rPr>
            </w:pPr>
            <w:r>
              <w:rPr>
                <w:rFonts w:ascii="Calibri" w:hAnsi="Calibri" w:cs="Calibri"/>
              </w:rPr>
              <w:t>X</w:t>
            </w: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6B30A3EE" w:rsidR="002F0752" w:rsidRPr="00CF2E7C" w:rsidRDefault="000D3880" w:rsidP="00CF2E7C">
            <w:pPr>
              <w:rPr>
                <w:rFonts w:ascii="Calibri" w:hAnsi="Calibri" w:cs="Calibri"/>
              </w:rPr>
            </w:pPr>
            <w:r>
              <w:rPr>
                <w:rFonts w:ascii="Calibri" w:hAnsi="Calibri" w:cs="Calibri"/>
              </w:rPr>
              <w:t>X</w:t>
            </w: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440DC74A" w:rsidR="002F0752" w:rsidRPr="00CF2E7C" w:rsidRDefault="000D3880" w:rsidP="00CF2E7C">
            <w:pPr>
              <w:rPr>
                <w:rFonts w:ascii="Calibri" w:hAnsi="Calibri" w:cs="Calibri"/>
              </w:rPr>
            </w:pPr>
            <w:r>
              <w:rPr>
                <w:rFonts w:ascii="Calibri" w:hAnsi="Calibri" w:cs="Calibri"/>
              </w:rPr>
              <w:t>X</w:t>
            </w: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832EA3" w14:textId="3C10F40C" w:rsidR="00D25C5F" w:rsidRDefault="00D25C5F" w:rsidP="008A1D8E">
            <w:r w:rsidRPr="00D25C5F">
              <w:rPr>
                <w:rFonts w:ascii="Calibri" w:hAnsi="Calibri" w:cs="Calibri"/>
                <w:lang w:val="en-US"/>
              </w:rPr>
              <w:t>The policy tool applies to all onshore drilling, production, and injection operations within California (CCR Section 1712)</w:t>
            </w:r>
            <w:r>
              <w:rPr>
                <w:rFonts w:ascii="Calibri" w:hAnsi="Calibri" w:cs="Calibri"/>
                <w:lang w:val="en-US"/>
              </w:rPr>
              <w:t xml:space="preserve"> and more specifically, </w:t>
            </w:r>
            <w:r w:rsidR="00D8157F">
              <w:rPr>
                <w:rFonts w:ascii="Calibri" w:hAnsi="Calibri" w:cs="Calibri"/>
                <w:lang w:val="en-US"/>
              </w:rPr>
              <w:t xml:space="preserve">applies to all operators of </w:t>
            </w:r>
            <w:r>
              <w:rPr>
                <w:rFonts w:ascii="Calibri" w:hAnsi="Calibri" w:cs="Calibri"/>
                <w:lang w:val="en-US"/>
              </w:rPr>
              <w:t xml:space="preserve">onshore </w:t>
            </w:r>
            <w:r w:rsidR="00F5291D">
              <w:t>underground gas storage projects and gas storage wells</w:t>
            </w:r>
            <w:r>
              <w:t>. The following information provides further insight into the targeted entities/facilities:</w:t>
            </w:r>
          </w:p>
          <w:p w14:paraId="2744226E" w14:textId="77777777" w:rsidR="00D25C5F" w:rsidRPr="00D25C5F" w:rsidRDefault="00F5291D" w:rsidP="00D25C5F">
            <w:pPr>
              <w:pStyle w:val="ListParagraph"/>
              <w:numPr>
                <w:ilvl w:val="0"/>
                <w:numId w:val="49"/>
              </w:numPr>
              <w:rPr>
                <w:rFonts w:ascii="Calibri" w:hAnsi="Calibri" w:cs="Calibri"/>
                <w:lang w:val="en-US"/>
              </w:rPr>
            </w:pPr>
            <w:r w:rsidRPr="00D25C5F">
              <w:rPr>
                <w:rFonts w:ascii="Calibri" w:hAnsi="Calibri" w:cs="Calibri"/>
                <w:lang w:val="en-US"/>
              </w:rPr>
              <w:t>CCR Section 1712(g) defines "Onshore well" as “a well located on lands that are not submerged under ocean waters or inland bays during mean high tide.”</w:t>
            </w:r>
            <w:r w:rsidRPr="00D25C5F">
              <w:rPr>
                <w:rFonts w:ascii="Calibri" w:hAnsi="Calibri" w:cs="Calibri"/>
              </w:rPr>
              <w:t xml:space="preserve"> </w:t>
            </w:r>
          </w:p>
          <w:p w14:paraId="560E11BB" w14:textId="0B867C1C" w:rsidR="00D25C5F" w:rsidRPr="00D25C5F" w:rsidRDefault="00F5291D" w:rsidP="00D25C5F">
            <w:pPr>
              <w:pStyle w:val="ListParagraph"/>
              <w:numPr>
                <w:ilvl w:val="0"/>
                <w:numId w:val="49"/>
              </w:numPr>
              <w:rPr>
                <w:rFonts w:ascii="Calibri" w:hAnsi="Calibri" w:cs="Calibri"/>
                <w:lang w:val="en-US"/>
              </w:rPr>
            </w:pPr>
            <w:r w:rsidRPr="00D25C5F">
              <w:rPr>
                <w:rFonts w:ascii="Calibri" w:hAnsi="Calibri" w:cs="Calibri"/>
              </w:rPr>
              <w:t>CCR Section 1712(f) provides that "Operations means any one or all of the activities of an operator covered by Division 3 of the Public Resources Code</w:t>
            </w:r>
            <w:r w:rsidR="00D25C5F">
              <w:rPr>
                <w:rFonts w:ascii="Calibri" w:hAnsi="Calibri" w:cs="Calibri"/>
              </w:rPr>
              <w:t xml:space="preserve">” </w:t>
            </w:r>
          </w:p>
          <w:p w14:paraId="4F753F56" w14:textId="716F4DF1" w:rsidR="008A1D8E" w:rsidRPr="00D25C5F" w:rsidRDefault="00F5291D" w:rsidP="00D25C5F">
            <w:pPr>
              <w:pStyle w:val="ListParagraph"/>
              <w:numPr>
                <w:ilvl w:val="0"/>
                <w:numId w:val="49"/>
              </w:numPr>
              <w:rPr>
                <w:rFonts w:ascii="Calibri" w:hAnsi="Calibri" w:cs="Calibri"/>
                <w:lang w:val="en-US"/>
              </w:rPr>
            </w:pPr>
            <w:r w:rsidRPr="00D25C5F">
              <w:rPr>
                <w:rFonts w:ascii="Calibri" w:hAnsi="Calibri" w:cs="Calibri"/>
              </w:rPr>
              <w:t xml:space="preserve">“Operator means a person who, by virtue of ownership, or under the authority of a lease or any other agreement, has the right to drill, operate, maintain, or control a well or production facility” (Section 3009 of the Cal Public Resources Code). </w:t>
            </w: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EB7FED"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5BCC073E" w14:textId="77777777" w:rsidR="00D25C5F" w:rsidRDefault="00D25C5F" w:rsidP="00D25C5F">
            <w:r w:rsidRPr="00D25C5F">
              <w:rPr>
                <w:rFonts w:ascii="Calibri" w:hAnsi="Calibri" w:cs="Calibri"/>
                <w:lang w:val="en-US"/>
              </w:rPr>
              <w:t>The policy tool applies to all onshore drilling, production, and injection operations within California (CCR Section 1712)</w:t>
            </w:r>
            <w:r>
              <w:rPr>
                <w:rFonts w:ascii="Calibri" w:hAnsi="Calibri" w:cs="Calibri"/>
                <w:lang w:val="en-US"/>
              </w:rPr>
              <w:t xml:space="preserve"> and more specifically, applies to all operators of onshore </w:t>
            </w:r>
            <w:r>
              <w:t>underground gas storage projects and gas storage wells. The following information provides further insight into the targeted entities/facilities:</w:t>
            </w:r>
          </w:p>
          <w:p w14:paraId="3D3EB069" w14:textId="77777777" w:rsidR="00D25C5F" w:rsidRPr="00D25C5F" w:rsidRDefault="00D25C5F" w:rsidP="00D25C5F">
            <w:pPr>
              <w:pStyle w:val="ListParagraph"/>
              <w:numPr>
                <w:ilvl w:val="0"/>
                <w:numId w:val="49"/>
              </w:numPr>
              <w:rPr>
                <w:rFonts w:ascii="Calibri" w:hAnsi="Calibri" w:cs="Calibri"/>
                <w:lang w:val="en-US"/>
              </w:rPr>
            </w:pPr>
            <w:r w:rsidRPr="00D25C5F">
              <w:rPr>
                <w:rFonts w:ascii="Calibri" w:hAnsi="Calibri" w:cs="Calibri"/>
                <w:lang w:val="en-US"/>
              </w:rPr>
              <w:t>CCR Section 1712(g) defines "Onshore well" as “a well located on lands that are not submerged under ocean waters or inland bays during mean high tide.”</w:t>
            </w:r>
            <w:r w:rsidRPr="00D25C5F">
              <w:rPr>
                <w:rFonts w:ascii="Calibri" w:hAnsi="Calibri" w:cs="Calibri"/>
              </w:rPr>
              <w:t xml:space="preserve"> </w:t>
            </w:r>
          </w:p>
          <w:p w14:paraId="2660353C" w14:textId="77777777" w:rsidR="00D25C5F" w:rsidRPr="00D25C5F" w:rsidRDefault="00D25C5F" w:rsidP="00D25C5F">
            <w:pPr>
              <w:pStyle w:val="ListParagraph"/>
              <w:numPr>
                <w:ilvl w:val="0"/>
                <w:numId w:val="49"/>
              </w:numPr>
              <w:rPr>
                <w:rFonts w:ascii="Calibri" w:hAnsi="Calibri" w:cs="Calibri"/>
                <w:lang w:val="en-US"/>
              </w:rPr>
            </w:pPr>
            <w:r w:rsidRPr="00D25C5F">
              <w:rPr>
                <w:rFonts w:ascii="Calibri" w:hAnsi="Calibri" w:cs="Calibri"/>
              </w:rPr>
              <w:t>CCR Section 1712(f) provides that "Operations means any one or all of the activities of an operator covered by Division 3 of the Public Resources Code</w:t>
            </w:r>
            <w:r>
              <w:rPr>
                <w:rFonts w:ascii="Calibri" w:hAnsi="Calibri" w:cs="Calibri"/>
              </w:rPr>
              <w:t xml:space="preserve">” </w:t>
            </w:r>
          </w:p>
          <w:p w14:paraId="43A11C61" w14:textId="3AD55D11" w:rsidR="002F0752" w:rsidRPr="00D25C5F" w:rsidRDefault="00D25C5F" w:rsidP="00D25C5F">
            <w:pPr>
              <w:pStyle w:val="ListParagraph"/>
              <w:numPr>
                <w:ilvl w:val="0"/>
                <w:numId w:val="49"/>
              </w:numPr>
              <w:rPr>
                <w:rFonts w:ascii="Calibri" w:hAnsi="Calibri" w:cs="Calibri"/>
                <w:lang w:val="en-US"/>
              </w:rPr>
            </w:pPr>
            <w:r w:rsidRPr="00D25C5F">
              <w:rPr>
                <w:rFonts w:ascii="Calibri" w:hAnsi="Calibri" w:cs="Calibri"/>
              </w:rPr>
              <w:t>“Operator means a person who, by virtue of ownership, or under the authority of a lease or any other agreement, has the right to drill, operate, maintain, or control a well or production facility” (Section 3009 of the Cal Public Resources Code).</w:t>
            </w: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4CDCF5A9" w:rsidR="002F0752" w:rsidRPr="00CF2E7C" w:rsidRDefault="00D11459" w:rsidP="00CF2E7C">
            <w:pPr>
              <w:rPr>
                <w:rFonts w:ascii="Calibri" w:hAnsi="Calibri" w:cs="Calibri"/>
              </w:rPr>
            </w:pPr>
            <w:r>
              <w:rPr>
                <w:rFonts w:ascii="Calibri" w:hAnsi="Calibri" w:cs="Calibri"/>
              </w:rPr>
              <w:t>X</w:t>
            </w: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3C262005" w:rsidR="002F0752" w:rsidRPr="00CF2E7C" w:rsidRDefault="00B908D9" w:rsidP="00CF2E7C">
            <w:pPr>
              <w:rPr>
                <w:rFonts w:ascii="Calibri" w:hAnsi="Calibri" w:cs="Calibri"/>
              </w:rPr>
            </w:pPr>
            <w:r>
              <w:rPr>
                <w:rFonts w:ascii="Calibri" w:hAnsi="Calibri" w:cs="Calibri"/>
              </w:rPr>
              <w:t>X</w:t>
            </w: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27BE4BB2" w:rsidR="002F0752" w:rsidRPr="00CF2E7C" w:rsidRDefault="00B908D9" w:rsidP="00CF2E7C">
            <w:pPr>
              <w:rPr>
                <w:rFonts w:ascii="Calibri" w:hAnsi="Calibri" w:cs="Calibri"/>
              </w:rPr>
            </w:pPr>
            <w:r>
              <w:rPr>
                <w:rFonts w:ascii="Calibri" w:hAnsi="Calibri" w:cs="Calibri"/>
              </w:rPr>
              <w:t>X</w:t>
            </w: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04D909A" w14:textId="22413EB8" w:rsidR="00B908D9" w:rsidRDefault="00B908D9" w:rsidP="00CF2E7C">
            <w:pPr>
              <w:rPr>
                <w:rFonts w:ascii="Calibri" w:hAnsi="Calibri" w:cs="Calibri"/>
              </w:rPr>
            </w:pPr>
            <w:r>
              <w:rPr>
                <w:rFonts w:ascii="Calibri" w:hAnsi="Calibri" w:cs="Calibri"/>
              </w:rPr>
              <w:t xml:space="preserve">Cal Public Resources Code </w:t>
            </w:r>
            <w:r w:rsidRPr="00B908D9">
              <w:rPr>
                <w:rFonts w:ascii="Calibri" w:hAnsi="Calibri" w:cs="Calibri"/>
              </w:rPr>
              <w:t>§ 3236.3</w:t>
            </w:r>
            <w:r>
              <w:rPr>
                <w:rFonts w:ascii="Calibri" w:hAnsi="Calibri" w:cs="Calibri"/>
              </w:rPr>
              <w:t xml:space="preserve"> provides that:</w:t>
            </w:r>
          </w:p>
          <w:p w14:paraId="1BC04F30" w14:textId="18AA7CDA" w:rsidR="00B908D9" w:rsidRDefault="00B908D9" w:rsidP="00CF2E7C">
            <w:pPr>
              <w:pStyle w:val="ListParagraph"/>
              <w:numPr>
                <w:ilvl w:val="0"/>
                <w:numId w:val="50"/>
              </w:numPr>
              <w:rPr>
                <w:rFonts w:ascii="Calibri" w:hAnsi="Calibri" w:cs="Calibri"/>
              </w:rPr>
            </w:pPr>
            <w:r>
              <w:rPr>
                <w:rFonts w:ascii="Calibri" w:hAnsi="Calibri" w:cs="Calibri"/>
              </w:rPr>
              <w:t xml:space="preserve">“(a) </w:t>
            </w:r>
            <w:r w:rsidRPr="00B908D9">
              <w:rPr>
                <w:rFonts w:ascii="Calibri" w:hAnsi="Calibri" w:cs="Calibri"/>
              </w:rPr>
              <w:t xml:space="preserve">When the supervisor determines that a person has engaged in, is engaged in, or is about to engage in any acts or practices that constitute or will constitute a violation of this chapter, or any regulation, condition of approval, order, or other requirement issued, promulgated, or executed thereunder, the supervisor may apply to a superior court for an order enjoining those acts or practices, or for an order directing compliance. Upon a showing by the supervisor that the person has engaged in or is about to engage in those acts or practices, the court may grant a permanent or temporary injunction, restraining order, or other injunctive order appropriate to the </w:t>
            </w:r>
            <w:proofErr w:type="gramStart"/>
            <w:r w:rsidRPr="00B908D9">
              <w:rPr>
                <w:rFonts w:ascii="Calibri" w:hAnsi="Calibri" w:cs="Calibri"/>
              </w:rPr>
              <w:t>circumstances</w:t>
            </w:r>
            <w:r>
              <w:rPr>
                <w:rFonts w:ascii="Calibri" w:hAnsi="Calibri" w:cs="Calibri"/>
              </w:rPr>
              <w:t>;</w:t>
            </w:r>
            <w:proofErr w:type="gramEnd"/>
          </w:p>
          <w:p w14:paraId="3CB98625" w14:textId="3A5086E6" w:rsidR="00B908D9" w:rsidRDefault="00B908D9" w:rsidP="00CF2E7C">
            <w:pPr>
              <w:pStyle w:val="ListParagraph"/>
              <w:numPr>
                <w:ilvl w:val="0"/>
                <w:numId w:val="50"/>
              </w:numPr>
              <w:rPr>
                <w:rFonts w:ascii="Calibri" w:hAnsi="Calibri" w:cs="Calibri"/>
              </w:rPr>
            </w:pPr>
            <w:r w:rsidRPr="00B908D9">
              <w:rPr>
                <w:rFonts w:ascii="Calibri" w:hAnsi="Calibri" w:cs="Calibri"/>
              </w:rPr>
              <w:t>(b) At the request of the supervisor, an application for an injunctive order may be applied for under this section by a public prosecutor or the Attorney General</w:t>
            </w:r>
            <w:r>
              <w:rPr>
                <w:rFonts w:ascii="Calibri" w:hAnsi="Calibri" w:cs="Calibri"/>
              </w:rPr>
              <w:t xml:space="preserve">; and </w:t>
            </w:r>
          </w:p>
          <w:p w14:paraId="36CD1F20" w14:textId="77777777" w:rsidR="002F0752" w:rsidRDefault="00B908D9" w:rsidP="00CF2E7C">
            <w:pPr>
              <w:pStyle w:val="ListParagraph"/>
              <w:numPr>
                <w:ilvl w:val="0"/>
                <w:numId w:val="50"/>
              </w:numPr>
              <w:rPr>
                <w:rFonts w:ascii="Calibri" w:hAnsi="Calibri" w:cs="Calibri"/>
              </w:rPr>
            </w:pPr>
            <w:r w:rsidRPr="00B908D9">
              <w:rPr>
                <w:rFonts w:ascii="Calibri" w:hAnsi="Calibri" w:cs="Calibri"/>
              </w:rPr>
              <w:t>(c) In any civil action brought pursuant to this section in which a temporary restraining order, preliminary injunction, or permanent injunction is sought, it shall not be necessary to allege or prove at any stage of the proceeding that irreparable damage will occur should the temporary restraining order, preliminary injunction, or permanent injunction not be issued; or that the remedy at law is inadequate, and the temporary restraining order, preliminary injunction, or permanent injunction shall issue without those allegations and without that proof.</w:t>
            </w:r>
            <w:r>
              <w:rPr>
                <w:rFonts w:ascii="Calibri" w:hAnsi="Calibri" w:cs="Calibri"/>
              </w:rPr>
              <w:t>”</w:t>
            </w:r>
          </w:p>
          <w:p w14:paraId="447AA35B" w14:textId="4D328FAA" w:rsidR="00B908D9" w:rsidRPr="00B908D9" w:rsidRDefault="00B908D9" w:rsidP="00B908D9">
            <w:pPr>
              <w:rPr>
                <w:rFonts w:ascii="Calibri" w:hAnsi="Calibri" w:cs="Calibri"/>
              </w:rPr>
            </w:pPr>
            <w:r>
              <w:rPr>
                <w:rFonts w:ascii="Calibri" w:hAnsi="Calibri" w:cs="Calibri"/>
              </w:rPr>
              <w:t xml:space="preserve">Further, Cal Public Resources Code </w:t>
            </w:r>
            <w:r w:rsidRPr="00B908D9">
              <w:rPr>
                <w:rFonts w:ascii="Calibri" w:hAnsi="Calibri" w:cs="Calibri"/>
              </w:rPr>
              <w:t>§ 3236.5</w:t>
            </w:r>
            <w:r>
              <w:rPr>
                <w:rFonts w:ascii="Calibri" w:hAnsi="Calibri" w:cs="Calibri"/>
              </w:rPr>
              <w:t>(a) provides that “</w:t>
            </w:r>
            <w:r w:rsidRPr="00B908D9">
              <w:rPr>
                <w:rFonts w:ascii="Calibri" w:hAnsi="Calibri" w:cs="Calibri"/>
              </w:rPr>
              <w:t>A person who violates this chapter or a regulation implementing this chapter is, at the supervisor’s discretion, subject to an administrative civil penalty</w:t>
            </w:r>
            <w:r>
              <w:rPr>
                <w:rFonts w:ascii="Calibri" w:hAnsi="Calibri" w:cs="Calibri"/>
              </w:rPr>
              <w:t xml:space="preserve"> as described in subdivision (b) for each violation” (See </w:t>
            </w:r>
            <w:r w:rsidRPr="00B908D9">
              <w:rPr>
                <w:rFonts w:ascii="Calibri" w:hAnsi="Calibri" w:cs="Calibri"/>
              </w:rPr>
              <w:t>§ 3236.5</w:t>
            </w:r>
            <w:r>
              <w:rPr>
                <w:rFonts w:ascii="Calibri" w:hAnsi="Calibri" w:cs="Calibri"/>
              </w:rPr>
              <w:t xml:space="preserve">(b)). </w:t>
            </w: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078FADC9" w:rsidR="002F0752" w:rsidRPr="00CF2E7C" w:rsidRDefault="00E37BED" w:rsidP="00CF2E7C">
            <w:pPr>
              <w:rPr>
                <w:rFonts w:ascii="Calibri" w:hAnsi="Calibri" w:cs="Calibri"/>
              </w:rPr>
            </w:pPr>
            <w:r>
              <w:rPr>
                <w:rFonts w:ascii="Calibri" w:hAnsi="Calibri" w:cs="Calibri"/>
              </w:rPr>
              <w:t>X</w:t>
            </w: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652282BE" w:rsidR="002F0752" w:rsidRPr="00CF2E7C" w:rsidRDefault="00E37BED" w:rsidP="00CF2E7C">
            <w:pPr>
              <w:rPr>
                <w:rFonts w:ascii="Calibri" w:hAnsi="Calibri" w:cs="Calibri"/>
              </w:rPr>
            </w:pPr>
            <w:r>
              <w:rPr>
                <w:rFonts w:ascii="Calibri" w:hAnsi="Calibri" w:cs="Calibri"/>
              </w:rPr>
              <w:t>X</w:t>
            </w: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04BED1A1" w:rsidR="002F0752" w:rsidRPr="00CF2E7C" w:rsidRDefault="00902E41" w:rsidP="00CF2E7C">
            <w:pPr>
              <w:rPr>
                <w:rFonts w:ascii="Calibri" w:hAnsi="Calibri" w:cs="Calibri"/>
              </w:rPr>
            </w:pPr>
            <w:r>
              <w:rPr>
                <w:rFonts w:ascii="Calibri" w:hAnsi="Calibri" w:cs="Calibri"/>
              </w:rPr>
              <w:t>X</w:t>
            </w: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277CCE27" w:rsidR="002F0752" w:rsidRPr="00CF2E7C" w:rsidRDefault="00902E41" w:rsidP="00CF2E7C">
            <w:pPr>
              <w:rPr>
                <w:rFonts w:ascii="Calibri" w:hAnsi="Calibri" w:cs="Calibri"/>
              </w:rPr>
            </w:pPr>
            <w:r>
              <w:rPr>
                <w:rFonts w:ascii="Calibri" w:hAnsi="Calibri" w:cs="Calibri"/>
              </w:rPr>
              <w:t>X</w:t>
            </w: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0CF03691" w:rsidR="002F0752" w:rsidRPr="33822AF7" w:rsidRDefault="00902E41"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66A1C2F" w:rsidR="002F0752" w:rsidRPr="00CF2E7C" w:rsidRDefault="00902E4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3725F77B" w:rsidR="002F0752" w:rsidRPr="00CF2E7C" w:rsidRDefault="0002157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0B2164A9" w:rsidR="002F0752" w:rsidRPr="00CF2E7C" w:rsidRDefault="00E37BE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59116375" w:rsidR="002F0752" w:rsidRPr="00CF2E7C" w:rsidRDefault="00E37BE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1E2A2076" w:rsidR="002F0752" w:rsidRPr="00CF2E7C" w:rsidRDefault="00E37BE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3C7CF456"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2155C2EA" w:rsidR="002F0752" w:rsidRPr="00CF2E7C" w:rsidRDefault="008F767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2235569" w:rsidR="002F0752" w:rsidRPr="00CF2E7C" w:rsidRDefault="008F767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50908525" w:rsidR="002F0752" w:rsidRPr="00CF2E7C" w:rsidRDefault="008F767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5350BAC6" w:rsidR="002F0752" w:rsidRPr="00CF2E7C" w:rsidRDefault="008F767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5B1A3211" w:rsidR="002F0752" w:rsidRPr="00CF2E7C" w:rsidRDefault="008F767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16FFA4D9" w:rsidR="002F0752" w:rsidRPr="00CF2E7C" w:rsidRDefault="008F767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6863D72C" w:rsidR="002F0752" w:rsidRPr="00CF2E7C" w:rsidRDefault="008F767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3F554F84"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452C8C0D" w:rsidR="002F0752" w:rsidRPr="00CF2E7C" w:rsidRDefault="007554F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572B7CF9" w:rsidR="002F0752" w:rsidRPr="00CF2E7C" w:rsidRDefault="007554F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4DC8E8BE" w:rsidR="002F0752" w:rsidRPr="00CF2E7C" w:rsidRDefault="007554F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630F2DEE" w:rsidR="002F0752" w:rsidRPr="00CF2E7C" w:rsidRDefault="00D7391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3D41E965" w:rsidR="002F0752" w:rsidRPr="00CF2E7C" w:rsidRDefault="007554F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24A3A86D" w:rsidR="002F0752" w:rsidRPr="00CF2E7C" w:rsidRDefault="007554F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3581242E" w:rsidR="002F0752" w:rsidRPr="00CF2E7C" w:rsidRDefault="007554F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3655D699" w:rsidR="002F0752" w:rsidRPr="00CF2E7C" w:rsidRDefault="007554F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161675EA" w:rsidR="002F0752" w:rsidRPr="00CF2E7C" w:rsidRDefault="007554F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6B64CAC" w:rsidR="002F0752" w:rsidRPr="007554FA" w:rsidRDefault="007554FA" w:rsidP="00CF2E7C">
            <w:pPr>
              <w:rPr>
                <w:rFonts w:ascii="Calibri" w:eastAsia="Calibri" w:hAnsi="Calibri" w:cs="Calibri"/>
                <w:color w:val="000000" w:themeColor="text1"/>
              </w:rPr>
            </w:pPr>
            <w:r w:rsidRPr="007554FA">
              <w:rPr>
                <w:rFonts w:ascii="Calibri" w:eastAsia="Calibri" w:hAnsi="Calibri" w:cs="Calibri"/>
                <w:color w:val="000000" w:themeColor="text1"/>
              </w:rPr>
              <w:t>X</w:t>
            </w: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4AA86B4E" w:rsidR="002F0752" w:rsidRPr="007554FA" w:rsidRDefault="007554FA" w:rsidP="00CF2E7C">
            <w:pPr>
              <w:rPr>
                <w:rFonts w:ascii="Calibri" w:eastAsia="Calibri" w:hAnsi="Calibri" w:cs="Calibri"/>
                <w:color w:val="000000" w:themeColor="text1"/>
              </w:rPr>
            </w:pPr>
            <w:r w:rsidRPr="007554FA">
              <w:rPr>
                <w:rFonts w:ascii="Calibri" w:eastAsia="Calibri" w:hAnsi="Calibri" w:cs="Calibri"/>
                <w:color w:val="000000" w:themeColor="text1"/>
              </w:rPr>
              <w:t>X</w:t>
            </w: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3A295CE3" w:rsidR="002F0752" w:rsidRPr="007554FA" w:rsidRDefault="007554FA" w:rsidP="00CF2E7C">
            <w:pPr>
              <w:rPr>
                <w:rFonts w:ascii="Calibri" w:eastAsia="Calibri" w:hAnsi="Calibri" w:cs="Calibri"/>
                <w:color w:val="000000" w:themeColor="text1"/>
              </w:rPr>
            </w:pPr>
            <w:r w:rsidRPr="007554FA">
              <w:rPr>
                <w:rFonts w:ascii="Calibri" w:eastAsia="Calibri" w:hAnsi="Calibri" w:cs="Calibri"/>
                <w:color w:val="000000" w:themeColor="text1"/>
              </w:rPr>
              <w:t>X</w:t>
            </w: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5FDD4A3A" w:rsidR="002F0752" w:rsidRPr="007554FA" w:rsidRDefault="007554FA" w:rsidP="00CF2E7C">
            <w:pPr>
              <w:rPr>
                <w:rFonts w:ascii="Calibri" w:eastAsia="Calibri" w:hAnsi="Calibri" w:cs="Calibri"/>
                <w:color w:val="000000" w:themeColor="text1"/>
              </w:rPr>
            </w:pPr>
            <w:r w:rsidRPr="007554FA">
              <w:rPr>
                <w:rFonts w:ascii="Calibri" w:eastAsia="Calibri" w:hAnsi="Calibri" w:cs="Calibri"/>
                <w:color w:val="000000" w:themeColor="text1"/>
              </w:rPr>
              <w:t>X</w:t>
            </w: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47758423" w:rsidR="002F0752" w:rsidRPr="007554FA" w:rsidRDefault="007554FA" w:rsidP="00CF2E7C">
            <w:pPr>
              <w:rPr>
                <w:rFonts w:ascii="Calibri" w:eastAsia="Calibri" w:hAnsi="Calibri" w:cs="Calibri"/>
                <w:color w:val="000000" w:themeColor="text1"/>
              </w:rPr>
            </w:pPr>
            <w:r w:rsidRPr="007554FA">
              <w:rPr>
                <w:rFonts w:ascii="Calibri" w:eastAsia="Calibri" w:hAnsi="Calibri" w:cs="Calibri"/>
                <w:color w:val="000000" w:themeColor="text1"/>
              </w:rPr>
              <w:t>X</w:t>
            </w: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025B103B" w:rsidR="002F0752" w:rsidRPr="007554FA" w:rsidRDefault="007554FA" w:rsidP="00CF2E7C">
            <w:pPr>
              <w:rPr>
                <w:rFonts w:ascii="Calibri" w:eastAsia="Calibri" w:hAnsi="Calibri" w:cs="Calibri"/>
                <w:color w:val="000000" w:themeColor="text1"/>
              </w:rPr>
            </w:pPr>
            <w:r w:rsidRPr="007554FA">
              <w:rPr>
                <w:rFonts w:ascii="Calibri" w:eastAsia="Calibri" w:hAnsi="Calibri" w:cs="Calibri"/>
                <w:color w:val="000000" w:themeColor="text1"/>
              </w:rPr>
              <w:t>X</w:t>
            </w: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A8A4EEB" w:rsidR="002F0752" w:rsidRPr="007554FA" w:rsidRDefault="007554FA" w:rsidP="00CF2E7C">
            <w:pPr>
              <w:rPr>
                <w:rFonts w:ascii="Calibri" w:eastAsia="Calibri" w:hAnsi="Calibri" w:cs="Calibri"/>
                <w:color w:val="000000" w:themeColor="text1"/>
              </w:rPr>
            </w:pPr>
            <w:r w:rsidRPr="007554FA">
              <w:rPr>
                <w:rFonts w:ascii="Calibri" w:eastAsia="Calibri" w:hAnsi="Calibri" w:cs="Calibri"/>
                <w:color w:val="000000" w:themeColor="text1"/>
              </w:rPr>
              <w:t>X</w:t>
            </w: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1FB541E1" w:rsidR="002F0752" w:rsidRPr="00CF2E7C" w:rsidRDefault="007554F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07AD1136" w:rsidR="002F0752" w:rsidRPr="00CF2E7C" w:rsidRDefault="007554F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1E613E9F" w:rsidR="002F0752" w:rsidRPr="00CF2E7C" w:rsidRDefault="007554FA"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13AC2811" w:rsidR="002F0752" w:rsidRPr="00CF2E7C" w:rsidRDefault="007554F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1D25A4BE" w:rsidR="002F0752" w:rsidRPr="00CF2E7C" w:rsidRDefault="007554FA"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710" w:type="dxa"/>
            <w:vAlign w:val="center"/>
          </w:tcPr>
          <w:p w14:paraId="5F8505C9" w14:textId="482DC166"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2AC1B567" w14:textId="5861FCD8" w:rsidR="007554FA" w:rsidRDefault="00126FC2" w:rsidP="007554FA">
            <w:pPr>
              <w:rPr>
                <w:rFonts w:ascii="Calibri" w:eastAsia="Calibri" w:hAnsi="Calibri" w:cs="Calibri"/>
                <w:color w:val="000000" w:themeColor="text1"/>
              </w:rPr>
            </w:pPr>
            <w:r w:rsidRPr="007554FA">
              <w:rPr>
                <w:rFonts w:ascii="Calibri" w:eastAsia="Calibri" w:hAnsi="Calibri" w:cs="Calibri"/>
                <w:color w:val="000000" w:themeColor="text1"/>
              </w:rPr>
              <w:t>§ 1726.4</w:t>
            </w:r>
            <w:r>
              <w:rPr>
                <w:rFonts w:ascii="Calibri" w:eastAsia="Calibri" w:hAnsi="Calibri" w:cs="Calibri"/>
                <w:color w:val="000000" w:themeColor="text1"/>
              </w:rPr>
              <w:t xml:space="preserve"> </w:t>
            </w:r>
            <w:r w:rsidR="007554FA" w:rsidRPr="007554FA">
              <w:rPr>
                <w:rFonts w:ascii="Calibri" w:eastAsia="Calibri" w:hAnsi="Calibri" w:cs="Calibri"/>
                <w:color w:val="000000" w:themeColor="text1"/>
              </w:rPr>
              <w:t xml:space="preserve">(D) </w:t>
            </w:r>
            <w:r>
              <w:rPr>
                <w:rFonts w:ascii="Calibri" w:eastAsia="Calibri" w:hAnsi="Calibri" w:cs="Calibri"/>
                <w:color w:val="000000" w:themeColor="text1"/>
              </w:rPr>
              <w:t>provides that operators of underground gas storage projects shall provide “</w:t>
            </w:r>
            <w:r w:rsidR="007554FA" w:rsidRPr="007554FA">
              <w:rPr>
                <w:rFonts w:ascii="Calibri" w:eastAsia="Calibri" w:hAnsi="Calibri" w:cs="Calibri"/>
                <w:color w:val="000000" w:themeColor="text1"/>
              </w:rPr>
              <w:t>Reservoir fluid data for each gas storage zone, such as oil gravity and viscosity, water quality,</w:t>
            </w:r>
            <w:r>
              <w:rPr>
                <w:rFonts w:ascii="Calibri" w:eastAsia="Calibri" w:hAnsi="Calibri" w:cs="Calibri"/>
                <w:color w:val="000000" w:themeColor="text1"/>
              </w:rPr>
              <w:t xml:space="preserve"> </w:t>
            </w:r>
            <w:r w:rsidR="007554FA" w:rsidRPr="007554FA">
              <w:rPr>
                <w:rFonts w:ascii="Calibri" w:eastAsia="Calibri" w:hAnsi="Calibri" w:cs="Calibri"/>
                <w:color w:val="000000" w:themeColor="text1"/>
              </w:rPr>
              <w:t>presence and concentrations of non-hydrocarbon components in the associated gas (e.g. hydrogen</w:t>
            </w:r>
            <w:r>
              <w:rPr>
                <w:rFonts w:ascii="Calibri" w:eastAsia="Calibri" w:hAnsi="Calibri" w:cs="Calibri"/>
                <w:color w:val="000000" w:themeColor="text1"/>
              </w:rPr>
              <w:t xml:space="preserve"> </w:t>
            </w:r>
            <w:proofErr w:type="spellStart"/>
            <w:r w:rsidR="007554FA" w:rsidRPr="007554FA">
              <w:rPr>
                <w:rFonts w:ascii="Calibri" w:eastAsia="Calibri" w:hAnsi="Calibri" w:cs="Calibri"/>
                <w:color w:val="000000" w:themeColor="text1"/>
              </w:rPr>
              <w:t>sulfide</w:t>
            </w:r>
            <w:proofErr w:type="spellEnd"/>
            <w:r w:rsidR="007554FA" w:rsidRPr="007554FA">
              <w:rPr>
                <w:rFonts w:ascii="Calibri" w:eastAsia="Calibri" w:hAnsi="Calibri" w:cs="Calibri"/>
                <w:color w:val="000000" w:themeColor="text1"/>
              </w:rPr>
              <w:t>, helium, etc.), and specific gravity of gas</w:t>
            </w:r>
            <w:r w:rsidR="00D73913">
              <w:rPr>
                <w:rFonts w:ascii="Calibri" w:eastAsia="Calibri" w:hAnsi="Calibri" w:cs="Calibri"/>
                <w:color w:val="000000" w:themeColor="text1"/>
              </w:rPr>
              <w:t>.</w:t>
            </w:r>
            <w:r>
              <w:rPr>
                <w:rFonts w:ascii="Calibri" w:eastAsia="Calibri" w:hAnsi="Calibri" w:cs="Calibri"/>
                <w:color w:val="000000" w:themeColor="text1"/>
              </w:rPr>
              <w:t>”</w:t>
            </w:r>
          </w:p>
          <w:p w14:paraId="3960EDDC" w14:textId="335DEB2C" w:rsidR="007554FA" w:rsidRDefault="007554FA" w:rsidP="007554FA">
            <w:pPr>
              <w:rPr>
                <w:rFonts w:ascii="Calibri" w:eastAsia="Calibri" w:hAnsi="Calibri" w:cs="Calibri"/>
                <w:color w:val="000000" w:themeColor="text1"/>
              </w:rPr>
            </w:pPr>
            <w:r w:rsidRPr="007554FA">
              <w:rPr>
                <w:rFonts w:ascii="Calibri" w:eastAsia="Calibri" w:hAnsi="Calibri" w:cs="Calibri"/>
                <w:color w:val="000000" w:themeColor="text1"/>
              </w:rPr>
              <w:t>§ 1726.4.2</w:t>
            </w:r>
            <w:r w:rsidR="00126FC2">
              <w:rPr>
                <w:rFonts w:ascii="Calibri" w:eastAsia="Calibri" w:hAnsi="Calibri" w:cs="Calibri"/>
                <w:color w:val="000000" w:themeColor="text1"/>
              </w:rPr>
              <w:t xml:space="preserve"> outlines</w:t>
            </w:r>
            <w:r>
              <w:rPr>
                <w:rFonts w:ascii="Calibri" w:eastAsia="Calibri" w:hAnsi="Calibri" w:cs="Calibri"/>
                <w:color w:val="000000" w:themeColor="text1"/>
              </w:rPr>
              <w:t xml:space="preserve"> requirements for plugged and abandoned wells</w:t>
            </w:r>
            <w:r w:rsidR="00126FC2">
              <w:rPr>
                <w:rFonts w:ascii="Calibri" w:eastAsia="Calibri" w:hAnsi="Calibri" w:cs="Calibri"/>
                <w:color w:val="000000" w:themeColor="text1"/>
              </w:rPr>
              <w:t>:</w:t>
            </w:r>
          </w:p>
          <w:p w14:paraId="1F04CFA2" w14:textId="52C1D887" w:rsidR="007554FA" w:rsidRDefault="007554FA" w:rsidP="007554FA">
            <w:pPr>
              <w:pStyle w:val="ListParagraph"/>
              <w:numPr>
                <w:ilvl w:val="0"/>
                <w:numId w:val="52"/>
              </w:numPr>
              <w:rPr>
                <w:rFonts w:ascii="Calibri" w:eastAsia="Calibri" w:hAnsi="Calibri" w:cs="Calibri"/>
                <w:color w:val="000000" w:themeColor="text1"/>
              </w:rPr>
            </w:pPr>
            <w:r>
              <w:rPr>
                <w:rFonts w:ascii="Calibri" w:eastAsia="Calibri" w:hAnsi="Calibri" w:cs="Calibri"/>
                <w:color w:val="000000" w:themeColor="text1"/>
              </w:rPr>
              <w:t>“</w:t>
            </w:r>
            <w:r w:rsidR="00126FC2">
              <w:rPr>
                <w:rFonts w:ascii="Calibri" w:eastAsia="Calibri" w:hAnsi="Calibri" w:cs="Calibri"/>
                <w:color w:val="000000" w:themeColor="text1"/>
              </w:rPr>
              <w:t>(a)</w:t>
            </w:r>
            <w:r w:rsidRPr="007554FA">
              <w:rPr>
                <w:rFonts w:ascii="Calibri" w:eastAsia="Calibri" w:hAnsi="Calibri" w:cs="Calibri"/>
                <w:color w:val="000000" w:themeColor="text1"/>
              </w:rPr>
              <w:t>(2) Plugged and abandoned wells within the area of review shall have cement across all perforations and extending at least 100 feet above the highest of the top of a landed liner, the uppermost perforations, the casing cementing point, the water shutoff holes, or the approved gas storage zone. The Division may select plugged and abandoned wells to be re-entered, examined, re-plugged and abandoned, or monitored to manage identified containment assurance issues.</w:t>
            </w:r>
          </w:p>
          <w:p w14:paraId="405DD430" w14:textId="77777777" w:rsidR="00126FC2" w:rsidRDefault="00126FC2" w:rsidP="00126FC2">
            <w:pPr>
              <w:pStyle w:val="ListParagraph"/>
              <w:numPr>
                <w:ilvl w:val="0"/>
                <w:numId w:val="52"/>
              </w:numPr>
              <w:rPr>
                <w:rFonts w:ascii="Calibri" w:eastAsia="Calibri" w:hAnsi="Calibri" w:cs="Calibri"/>
                <w:color w:val="000000" w:themeColor="text1"/>
              </w:rPr>
            </w:pPr>
            <w:r>
              <w:rPr>
                <w:rFonts w:ascii="Calibri" w:eastAsia="Calibri" w:hAnsi="Calibri" w:cs="Calibri"/>
                <w:color w:val="000000" w:themeColor="text1"/>
              </w:rPr>
              <w:t>(a)</w:t>
            </w:r>
            <w:r w:rsidR="007554FA" w:rsidRPr="007554FA">
              <w:rPr>
                <w:rFonts w:ascii="Calibri" w:eastAsia="Calibri" w:hAnsi="Calibri" w:cs="Calibri"/>
                <w:color w:val="000000" w:themeColor="text1"/>
              </w:rPr>
              <w:t>(3) If a plugged and abandoned well within the area of review does not meet the cement specifications</w:t>
            </w:r>
            <w:r w:rsidR="007554FA">
              <w:rPr>
                <w:rFonts w:ascii="Calibri" w:eastAsia="Calibri" w:hAnsi="Calibri" w:cs="Calibri"/>
                <w:color w:val="000000" w:themeColor="text1"/>
              </w:rPr>
              <w:t xml:space="preserve"> </w:t>
            </w:r>
            <w:r w:rsidR="007554FA" w:rsidRPr="007554FA">
              <w:rPr>
                <w:rFonts w:ascii="Calibri" w:eastAsia="Calibri" w:hAnsi="Calibri" w:cs="Calibri"/>
                <w:color w:val="000000" w:themeColor="text1"/>
              </w:rPr>
              <w:t>of subdivision (a)(2), the Division may approve an alternative demonstration that the well will not be a</w:t>
            </w:r>
            <w:r w:rsidR="007554FA">
              <w:rPr>
                <w:rFonts w:ascii="Calibri" w:eastAsia="Calibri" w:hAnsi="Calibri" w:cs="Calibri"/>
                <w:color w:val="000000" w:themeColor="text1"/>
              </w:rPr>
              <w:t xml:space="preserve"> </w:t>
            </w:r>
            <w:r w:rsidR="007554FA" w:rsidRPr="007554FA">
              <w:rPr>
                <w:rFonts w:ascii="Calibri" w:eastAsia="Calibri" w:hAnsi="Calibri" w:cs="Calibri"/>
                <w:color w:val="000000" w:themeColor="text1"/>
              </w:rPr>
              <w:t>potential conduit for fluid migration outside the approved gas storage zone. The Division's approval of</w:t>
            </w:r>
            <w:r w:rsidR="007554FA">
              <w:rPr>
                <w:rFonts w:ascii="Calibri" w:eastAsia="Calibri" w:hAnsi="Calibri" w:cs="Calibri"/>
                <w:color w:val="000000" w:themeColor="text1"/>
              </w:rPr>
              <w:t xml:space="preserve"> </w:t>
            </w:r>
            <w:r w:rsidR="007554FA" w:rsidRPr="007554FA">
              <w:rPr>
                <w:rFonts w:ascii="Calibri" w:eastAsia="Calibri" w:hAnsi="Calibri" w:cs="Calibri"/>
                <w:color w:val="000000" w:themeColor="text1"/>
              </w:rPr>
              <w:t>such an alternative demonstration shall be supported by written findings by the Division that identify</w:t>
            </w:r>
            <w:r w:rsidR="007554FA">
              <w:rPr>
                <w:rFonts w:ascii="Calibri" w:eastAsia="Calibri" w:hAnsi="Calibri" w:cs="Calibri"/>
                <w:color w:val="000000" w:themeColor="text1"/>
              </w:rPr>
              <w:t xml:space="preserve"> </w:t>
            </w:r>
            <w:r w:rsidR="007554FA" w:rsidRPr="007554FA">
              <w:rPr>
                <w:rFonts w:ascii="Calibri" w:eastAsia="Calibri" w:hAnsi="Calibri" w:cs="Calibri"/>
                <w:color w:val="000000" w:themeColor="text1"/>
              </w:rPr>
              <w:t>each plugged and abandoned well in the area of review that does not meet the cement specifications of</w:t>
            </w:r>
            <w:r w:rsidR="007554FA">
              <w:rPr>
                <w:rFonts w:ascii="Calibri" w:eastAsia="Calibri" w:hAnsi="Calibri" w:cs="Calibri"/>
                <w:color w:val="000000" w:themeColor="text1"/>
              </w:rPr>
              <w:t xml:space="preserve"> </w:t>
            </w:r>
            <w:r w:rsidR="007554FA" w:rsidRPr="007554FA">
              <w:rPr>
                <w:rFonts w:ascii="Calibri" w:eastAsia="Calibri" w:hAnsi="Calibri" w:cs="Calibri"/>
                <w:color w:val="000000" w:themeColor="text1"/>
              </w:rPr>
              <w:t>subdivision (a)(2), specify how the well does not meet the requirements of subdivision (a)(2), and</w:t>
            </w:r>
            <w:r w:rsidR="007554FA">
              <w:rPr>
                <w:rFonts w:ascii="Calibri" w:eastAsia="Calibri" w:hAnsi="Calibri" w:cs="Calibri"/>
                <w:color w:val="000000" w:themeColor="text1"/>
              </w:rPr>
              <w:t xml:space="preserve"> </w:t>
            </w:r>
            <w:r w:rsidR="007554FA" w:rsidRPr="007554FA">
              <w:rPr>
                <w:rFonts w:ascii="Calibri" w:eastAsia="Calibri" w:hAnsi="Calibri" w:cs="Calibri"/>
                <w:color w:val="000000" w:themeColor="text1"/>
              </w:rPr>
              <w:t>identify the basis for the Division's approval of the alternative demonstration.</w:t>
            </w:r>
            <w:r w:rsidR="007554FA">
              <w:rPr>
                <w:rFonts w:ascii="Calibri" w:eastAsia="Calibri" w:hAnsi="Calibri" w:cs="Calibri"/>
                <w:color w:val="000000" w:themeColor="text1"/>
              </w:rPr>
              <w:t>”</w:t>
            </w:r>
          </w:p>
          <w:p w14:paraId="78AA723E" w14:textId="3BCEF3DE" w:rsidR="00126FC2" w:rsidRPr="00126FC2" w:rsidRDefault="00126FC2" w:rsidP="00126FC2">
            <w:pPr>
              <w:pStyle w:val="ListParagraph"/>
              <w:numPr>
                <w:ilvl w:val="0"/>
                <w:numId w:val="52"/>
              </w:numPr>
              <w:rPr>
                <w:rFonts w:ascii="Calibri" w:eastAsia="Calibri" w:hAnsi="Calibri" w:cs="Calibri"/>
                <w:color w:val="000000" w:themeColor="text1"/>
              </w:rPr>
            </w:pPr>
            <w:r w:rsidRPr="00126FC2">
              <w:rPr>
                <w:rFonts w:ascii="Calibri" w:eastAsia="Calibri" w:hAnsi="Calibri" w:cs="Calibri"/>
                <w:color w:val="000000" w:themeColor="text1"/>
                <w:lang w:val="en-US"/>
              </w:rPr>
              <w:t xml:space="preserve">(a)(5)(H) “Wells completed in or penetrating through the intended gas storage reservoir shall be identified and evaluated for containment assurance for the design of gas storage operation volumes, pressures, and flow rates. The operator shall identify, and the Division confirm, wells which may require integrity testing or well logging </w:t>
            </w:r>
            <w:proofErr w:type="gramStart"/>
            <w:r w:rsidRPr="00126FC2">
              <w:rPr>
                <w:rFonts w:ascii="Calibri" w:eastAsia="Calibri" w:hAnsi="Calibri" w:cs="Calibri"/>
                <w:color w:val="000000" w:themeColor="text1"/>
                <w:lang w:val="en-US"/>
              </w:rPr>
              <w:t>in order to</w:t>
            </w:r>
            <w:proofErr w:type="gramEnd"/>
            <w:r w:rsidRPr="00126FC2">
              <w:rPr>
                <w:rFonts w:ascii="Calibri" w:eastAsia="Calibri" w:hAnsi="Calibri" w:cs="Calibri"/>
                <w:color w:val="000000" w:themeColor="text1"/>
                <w:lang w:val="en-US"/>
              </w:rPr>
              <w:t xml:space="preserve"> meet the integrity demonstration. The Division may select plugged and abandoned wells to be re-entered, examined, re-plugged and abandoned, or monitored to manage identified containment assurance issues prior to approval of gas storage operations.”</w:t>
            </w: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3513BD1E" w:rsidR="002F0752" w:rsidRPr="00CF2E7C" w:rsidRDefault="00126FC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514B0256" w:rsidR="002F0752" w:rsidRPr="00CF2E7C" w:rsidRDefault="00126FC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45A5804C" w:rsidR="002F0752" w:rsidRPr="00CF2E7C" w:rsidRDefault="00126FC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937C264" w:rsidR="002F0752" w:rsidRPr="00CF2E7C" w:rsidRDefault="00126FC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6B296DE9" w:rsidR="002F0752" w:rsidRPr="00CF2E7C" w:rsidRDefault="00126FC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2F6A7FF4" w:rsidR="002F0752" w:rsidRPr="00CF2E7C" w:rsidRDefault="00126FC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B312DC"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B312DC" w:rsidRPr="00CF2E7C" w:rsidRDefault="00B312DC" w:rsidP="00B312D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B312DC" w:rsidRPr="00CF2E7C" w:rsidRDefault="00B312DC" w:rsidP="00B312D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B312DC" w:rsidRPr="00CF2E7C" w:rsidRDefault="00B312DC" w:rsidP="00B312D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B312DC" w:rsidRPr="00CF2E7C" w:rsidRDefault="00B312DC" w:rsidP="00B312D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16F3270E" w:rsidR="00B312DC" w:rsidRPr="00CF2E7C" w:rsidRDefault="00B312DC" w:rsidP="00B312DC">
            <w:pPr>
              <w:shd w:val="clear" w:color="auto" w:fill="FFFFFF" w:themeFill="background1"/>
              <w:spacing w:before="40" w:after="40"/>
              <w:rPr>
                <w:rFonts w:ascii="Calibri" w:hAnsi="Calibri" w:cs="Calibri"/>
              </w:rPr>
            </w:pPr>
            <w:r>
              <w:rPr>
                <w:rFonts w:ascii="Calibri" w:hAnsi="Calibri" w:cs="Calibri"/>
              </w:rPr>
              <w:t>X</w:t>
            </w:r>
          </w:p>
        </w:tc>
      </w:tr>
      <w:tr w:rsidR="00B312DC"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B312DC" w:rsidRPr="00CF2E7C" w:rsidRDefault="00B312DC" w:rsidP="00B312D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B312DC" w:rsidRPr="00CF2E7C" w:rsidRDefault="00B312DC" w:rsidP="00B312D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B312DC" w:rsidRPr="00CF2E7C" w:rsidRDefault="00B312DC" w:rsidP="00B312D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B312DC" w:rsidRPr="00CF2E7C" w:rsidRDefault="00B312DC" w:rsidP="00B312D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359B4515" w:rsidR="00B312DC" w:rsidRPr="00CF2E7C" w:rsidRDefault="00B312DC" w:rsidP="00B312DC">
            <w:pPr>
              <w:shd w:val="clear" w:color="auto" w:fill="FFFFFF" w:themeFill="background1"/>
              <w:spacing w:before="40" w:after="40"/>
              <w:rPr>
                <w:rFonts w:ascii="Calibri" w:hAnsi="Calibri" w:cs="Calibri"/>
              </w:rPr>
            </w:pPr>
            <w:r>
              <w:rPr>
                <w:rFonts w:ascii="Calibri" w:hAnsi="Calibri" w:cs="Calibri"/>
              </w:rPr>
              <w:t>X</w:t>
            </w:r>
          </w:p>
        </w:tc>
      </w:tr>
      <w:tr w:rsidR="00B312DC"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B312DC" w:rsidRPr="00CF2E7C" w:rsidRDefault="00B312DC" w:rsidP="00B312D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B312DC" w:rsidRPr="00CF2E7C" w:rsidRDefault="00B312DC" w:rsidP="00B312D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B312DC" w:rsidRPr="00CF2E7C" w:rsidRDefault="00B312DC" w:rsidP="00B312D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B312DC" w:rsidRPr="00CF2E7C" w:rsidRDefault="00B312DC" w:rsidP="00B312D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2260DF7A" w:rsidR="00B312DC" w:rsidRPr="00CF2E7C" w:rsidRDefault="00B312DC" w:rsidP="00B312DC">
            <w:pPr>
              <w:shd w:val="clear" w:color="auto" w:fill="FFFFFF" w:themeFill="background1"/>
              <w:spacing w:before="40" w:after="40"/>
              <w:rPr>
                <w:rFonts w:ascii="Calibri" w:hAnsi="Calibri" w:cs="Calibri"/>
              </w:rPr>
            </w:pPr>
            <w:r>
              <w:rPr>
                <w:rFonts w:ascii="Calibri" w:hAnsi="Calibri" w:cs="Calibri"/>
              </w:rPr>
              <w:t>X</w:t>
            </w:r>
          </w:p>
        </w:tc>
      </w:tr>
      <w:tr w:rsidR="00B312DC"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B312DC" w:rsidRPr="00CF2E7C" w:rsidRDefault="00B312DC" w:rsidP="00B312D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B312DC" w:rsidRPr="00CF2E7C" w:rsidRDefault="00B312DC" w:rsidP="00B312D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B312DC" w:rsidRPr="00CF2E7C" w:rsidRDefault="00B312DC" w:rsidP="00B312D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B312DC" w:rsidRPr="00CF2E7C" w:rsidRDefault="00B312DC" w:rsidP="00B312D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31E422B5" w:rsidR="00B312DC" w:rsidRPr="00CF2E7C" w:rsidRDefault="00B312DC" w:rsidP="00B312DC">
            <w:pPr>
              <w:shd w:val="clear" w:color="auto" w:fill="FFFFFF" w:themeFill="background1"/>
              <w:spacing w:before="40" w:after="40"/>
              <w:rPr>
                <w:rFonts w:ascii="Calibri" w:eastAsia="Calibri" w:hAnsi="Calibri" w:cs="Calibri"/>
                <w:color w:val="000000" w:themeColor="text1"/>
              </w:rPr>
            </w:pPr>
            <w:r>
              <w:rPr>
                <w:rFonts w:ascii="Calibri" w:hAnsi="Calibri" w:cs="Calibri"/>
              </w:rPr>
              <w:t>X</w:t>
            </w:r>
          </w:p>
        </w:tc>
      </w:tr>
      <w:tr w:rsidR="00B312DC"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B312DC" w:rsidRPr="00CF2E7C" w:rsidRDefault="00B312DC" w:rsidP="00B312D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B312DC" w:rsidRPr="00CF2E7C" w:rsidRDefault="00B312DC" w:rsidP="00B312D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B312DC" w:rsidRPr="00CF2E7C" w:rsidRDefault="00B312DC" w:rsidP="00B312D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B312DC" w:rsidRPr="00CF2E7C" w:rsidRDefault="00B312DC" w:rsidP="00B312D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4F51D45" w:rsidR="00B312DC" w:rsidRPr="00CF2E7C" w:rsidRDefault="00B312DC" w:rsidP="00B312DC">
            <w:pPr>
              <w:shd w:val="clear" w:color="auto" w:fill="FFFFFF" w:themeFill="background1"/>
              <w:spacing w:before="40" w:after="40"/>
              <w:rPr>
                <w:rFonts w:ascii="Calibri" w:hAnsi="Calibri" w:cs="Calibri"/>
              </w:rPr>
            </w:pPr>
            <w:r>
              <w:rPr>
                <w:rFonts w:ascii="Calibri" w:hAnsi="Calibri" w:cs="Calibri"/>
              </w:rPr>
              <w:t>X</w:t>
            </w:r>
          </w:p>
        </w:tc>
      </w:tr>
      <w:tr w:rsidR="00B312DC"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B312DC" w:rsidRPr="00CF2E7C" w:rsidRDefault="00B312DC" w:rsidP="00B312D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B312DC" w:rsidRPr="00CF2E7C" w:rsidRDefault="00B312DC" w:rsidP="00B312D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B312DC" w:rsidRPr="00CF2E7C" w:rsidRDefault="00B312DC" w:rsidP="00B312D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B312DC" w:rsidRPr="00CF2E7C" w:rsidRDefault="00B312DC" w:rsidP="00B312D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25F35EE2" w:rsidR="00B312DC" w:rsidRPr="00CF2E7C" w:rsidRDefault="00B312DC" w:rsidP="00B312DC">
            <w:pPr>
              <w:shd w:val="clear" w:color="auto" w:fill="FFFFFF" w:themeFill="background1"/>
              <w:spacing w:before="40" w:after="40"/>
              <w:rPr>
                <w:rFonts w:ascii="Calibri" w:hAnsi="Calibri" w:cs="Calibri"/>
              </w:rPr>
            </w:pPr>
            <w:r>
              <w:rPr>
                <w:rFonts w:ascii="Calibri" w:hAnsi="Calibri" w:cs="Calibri"/>
              </w:rPr>
              <w:t>X</w:t>
            </w:r>
          </w:p>
        </w:tc>
      </w:tr>
      <w:tr w:rsidR="00B312DC"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B312DC" w:rsidRPr="00CF2E7C" w:rsidRDefault="00B312DC" w:rsidP="00B312D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B312DC" w:rsidRPr="00CF2E7C" w:rsidRDefault="00B312DC" w:rsidP="00B312D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B312DC" w:rsidRPr="00CF2E7C" w:rsidRDefault="00B312DC" w:rsidP="00B312D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B312DC" w:rsidRPr="00CF2E7C" w:rsidRDefault="00B312DC" w:rsidP="00B312D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5FEAC1AA" w:rsidR="00B312DC" w:rsidRPr="00CF2E7C" w:rsidRDefault="00B312DC" w:rsidP="00B312DC">
            <w:pPr>
              <w:shd w:val="clear" w:color="auto" w:fill="FFFFFF" w:themeFill="background1"/>
              <w:spacing w:before="40" w:after="40"/>
              <w:rPr>
                <w:rFonts w:ascii="Calibri" w:hAnsi="Calibri" w:cs="Calibri"/>
              </w:rPr>
            </w:pPr>
            <w:r>
              <w:rPr>
                <w:rFonts w:ascii="Calibri" w:hAnsi="Calibri" w:cs="Calibri"/>
              </w:rPr>
              <w:t>X</w:t>
            </w:r>
          </w:p>
        </w:tc>
      </w:tr>
      <w:tr w:rsidR="00B312DC"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B312DC" w:rsidRPr="00CF2E7C" w:rsidRDefault="00B312DC" w:rsidP="00B312D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B312DC" w:rsidRPr="00CF2E7C" w:rsidRDefault="00B312DC" w:rsidP="00B312D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B312DC" w:rsidRPr="00CF2E7C" w:rsidRDefault="00B312DC" w:rsidP="00B312D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B312DC" w:rsidRPr="00CF2E7C" w:rsidRDefault="00B312DC" w:rsidP="00B312D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02A02669" w:rsidR="00B312DC" w:rsidRPr="00CF2E7C" w:rsidRDefault="00B312DC" w:rsidP="00B312DC">
            <w:pPr>
              <w:shd w:val="clear" w:color="auto" w:fill="FFFFFF" w:themeFill="background1"/>
              <w:spacing w:before="40" w:after="40"/>
              <w:rPr>
                <w:rFonts w:ascii="Calibri" w:hAnsi="Calibri" w:cs="Calibri"/>
              </w:rPr>
            </w:pPr>
            <w:r>
              <w:rPr>
                <w:rFonts w:ascii="Calibri" w:hAnsi="Calibri" w:cs="Calibri"/>
              </w:rPr>
              <w:t>X</w:t>
            </w:r>
          </w:p>
        </w:tc>
      </w:tr>
      <w:tr w:rsidR="00B312DC"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B312DC" w:rsidRPr="00CF2E7C" w:rsidRDefault="00B312DC" w:rsidP="00B312D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B312DC" w:rsidRPr="00CF2E7C" w:rsidRDefault="00B312DC" w:rsidP="00B312D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B312DC" w:rsidRPr="00CF2E7C" w:rsidRDefault="00B312DC" w:rsidP="00B312D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B312DC" w:rsidRPr="00CF2E7C" w:rsidRDefault="00B312DC" w:rsidP="00B312D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3F7AF081" w:rsidR="00B312DC" w:rsidRPr="00CF2E7C" w:rsidRDefault="00B312DC" w:rsidP="00B312DC">
            <w:pPr>
              <w:shd w:val="clear" w:color="auto" w:fill="FFFFFF" w:themeFill="background1"/>
              <w:spacing w:before="40" w:after="40"/>
              <w:rPr>
                <w:rFonts w:ascii="Calibri" w:hAnsi="Calibri" w:cs="Calibri"/>
              </w:rPr>
            </w:pPr>
            <w:r>
              <w:rPr>
                <w:rFonts w:ascii="Calibri" w:hAnsi="Calibri" w:cs="Calibri"/>
              </w:rPr>
              <w:t>X</w:t>
            </w:r>
          </w:p>
        </w:tc>
      </w:tr>
      <w:tr w:rsidR="00B312DC"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B312DC" w:rsidRPr="00CF2E7C" w:rsidRDefault="00B312DC" w:rsidP="00B312D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B312DC" w:rsidRPr="00CF2E7C" w:rsidRDefault="00B312DC" w:rsidP="00B312D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B312DC" w:rsidRPr="00CF2E7C" w:rsidRDefault="00B312DC" w:rsidP="00B312D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B312DC" w:rsidRPr="00CF2E7C" w:rsidRDefault="00B312DC" w:rsidP="00B312D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3D60313C" w:rsidR="00B312DC" w:rsidRPr="00CF2E7C" w:rsidRDefault="00B312DC" w:rsidP="00B312DC">
            <w:pPr>
              <w:shd w:val="clear" w:color="auto" w:fill="FFFFFF" w:themeFill="background1"/>
              <w:spacing w:before="40" w:after="40"/>
              <w:rPr>
                <w:rFonts w:ascii="Calibri" w:hAnsi="Calibri" w:cs="Calibri"/>
              </w:rPr>
            </w:pPr>
            <w:r>
              <w:rPr>
                <w:rFonts w:ascii="Calibri" w:hAnsi="Calibri" w:cs="Calibri"/>
              </w:rPr>
              <w:t>X</w:t>
            </w:r>
          </w:p>
        </w:tc>
      </w:tr>
      <w:tr w:rsidR="00B312DC"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B312DC" w:rsidRPr="00CF2E7C" w:rsidRDefault="00B312DC" w:rsidP="00B312D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B312DC" w:rsidRPr="00CF2E7C" w:rsidRDefault="00B312DC" w:rsidP="00B312D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B312DC" w:rsidRPr="00CF2E7C" w:rsidRDefault="00B312DC" w:rsidP="00B312D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B312DC" w:rsidRPr="00CF2E7C" w:rsidRDefault="00B312DC" w:rsidP="00B312D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398A029B" w:rsidR="00B312DC" w:rsidRPr="00CF2E7C" w:rsidRDefault="00B312DC" w:rsidP="00B312DC">
            <w:pPr>
              <w:shd w:val="clear" w:color="auto" w:fill="FFFFFF" w:themeFill="background1"/>
              <w:spacing w:before="40" w:after="40"/>
              <w:rPr>
                <w:rFonts w:ascii="Calibri" w:hAnsi="Calibri" w:cs="Calibri"/>
              </w:rPr>
            </w:pPr>
            <w:r>
              <w:rPr>
                <w:rFonts w:ascii="Calibri" w:hAnsi="Calibri" w:cs="Calibri"/>
              </w:rPr>
              <w:t>X</w:t>
            </w:r>
          </w:p>
        </w:tc>
      </w:tr>
      <w:tr w:rsidR="00B312DC"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B312DC" w:rsidRPr="00CF2E7C" w:rsidRDefault="00B312DC" w:rsidP="00B312D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B312DC" w:rsidRPr="00CF2E7C" w:rsidRDefault="00B312DC" w:rsidP="00B312D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B312DC" w:rsidRPr="00CF2E7C" w:rsidRDefault="00B312DC" w:rsidP="00B312D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B312DC" w:rsidRPr="00CF2E7C" w:rsidRDefault="00B312DC" w:rsidP="00B312D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3C8C0E76" w:rsidR="00B312DC" w:rsidRPr="00CF2E7C" w:rsidRDefault="00B312DC" w:rsidP="00B312DC">
            <w:pPr>
              <w:shd w:val="clear" w:color="auto" w:fill="FFFFFF" w:themeFill="background1"/>
              <w:spacing w:before="40" w:after="40"/>
              <w:rPr>
                <w:rFonts w:ascii="Calibri" w:hAnsi="Calibri" w:cs="Calibri"/>
              </w:rPr>
            </w:pPr>
            <w:r>
              <w:rPr>
                <w:rFonts w:ascii="Calibri" w:hAnsi="Calibri" w:cs="Calibri"/>
              </w:rPr>
              <w:t>X</w:t>
            </w:r>
          </w:p>
        </w:tc>
      </w:tr>
      <w:tr w:rsidR="00B312DC"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B312DC" w:rsidRPr="00CF2E7C" w:rsidRDefault="00B312DC" w:rsidP="00B312D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B312DC" w:rsidRPr="00CF2E7C" w:rsidRDefault="00B312DC" w:rsidP="00B312D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B312DC" w:rsidRPr="00CF2E7C" w:rsidRDefault="00B312DC" w:rsidP="00B312D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B312DC" w:rsidRPr="00CF2E7C" w:rsidRDefault="00B312DC" w:rsidP="00B312D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2D261384" w:rsidR="00B312DC" w:rsidRPr="00CF2E7C" w:rsidRDefault="00B312DC" w:rsidP="00B312DC">
            <w:pPr>
              <w:shd w:val="clear" w:color="auto" w:fill="FFFFFF" w:themeFill="background1"/>
              <w:spacing w:before="40"/>
              <w:rPr>
                <w:rFonts w:ascii="Calibri" w:hAnsi="Calibri" w:cs="Calibri"/>
              </w:rPr>
            </w:pPr>
            <w:r>
              <w:rPr>
                <w:rFonts w:ascii="Calibri" w:hAnsi="Calibri" w:cs="Calibri"/>
              </w:rPr>
              <w:t>X</w:t>
            </w:r>
          </w:p>
        </w:tc>
      </w:tr>
      <w:tr w:rsidR="00B312DC"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B312DC" w:rsidRPr="00CF2E7C" w:rsidRDefault="00B312DC" w:rsidP="00B312D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B312DC" w:rsidRPr="00CF2E7C" w:rsidRDefault="00B312DC" w:rsidP="00B312D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B312DC" w:rsidRPr="00CF2E7C" w:rsidRDefault="00B312DC" w:rsidP="00B312D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B312DC" w:rsidRPr="00CF2E7C" w:rsidRDefault="00B312DC" w:rsidP="00B312D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3597808E" w:rsidR="00B312DC" w:rsidRPr="00CF2E7C" w:rsidRDefault="00B312DC" w:rsidP="00B312DC">
            <w:pPr>
              <w:shd w:val="clear" w:color="auto" w:fill="FFFFFF" w:themeFill="background1"/>
              <w:spacing w:before="40" w:after="40"/>
              <w:rPr>
                <w:rFonts w:ascii="Calibri" w:hAnsi="Calibri" w:cs="Calibri"/>
              </w:rPr>
            </w:pPr>
            <w:r>
              <w:rPr>
                <w:rFonts w:ascii="Calibri" w:hAnsi="Calibri" w:cs="Calibri"/>
              </w:rPr>
              <w:t>X</w:t>
            </w:r>
          </w:p>
        </w:tc>
      </w:tr>
      <w:tr w:rsidR="00B312DC"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B312DC" w:rsidRPr="00CF2E7C" w:rsidRDefault="00B312DC" w:rsidP="00B312D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B312DC" w:rsidRPr="00CF2E7C" w:rsidRDefault="00B312DC" w:rsidP="00B312D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B312DC" w:rsidRPr="00CF2E7C" w:rsidRDefault="00B312DC" w:rsidP="00B312D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B312DC" w:rsidRPr="00CF2E7C" w:rsidRDefault="00B312DC" w:rsidP="00B312D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44E087F3" w:rsidR="00B312DC" w:rsidRPr="00CF2E7C" w:rsidRDefault="00B312DC" w:rsidP="00B312DC">
            <w:pPr>
              <w:shd w:val="clear" w:color="auto" w:fill="FFFFFF" w:themeFill="background1"/>
              <w:spacing w:before="40" w:after="40"/>
              <w:rPr>
                <w:rFonts w:ascii="Calibri" w:hAnsi="Calibri" w:cs="Calibri"/>
              </w:rPr>
            </w:pPr>
            <w:r>
              <w:rPr>
                <w:rFonts w:ascii="Calibri" w:hAnsi="Calibri" w:cs="Calibri"/>
              </w:rPr>
              <w:t>X</w:t>
            </w:r>
          </w:p>
        </w:tc>
      </w:tr>
      <w:tr w:rsidR="00B312DC"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B312DC" w:rsidRPr="00CF2E7C" w:rsidRDefault="00B312DC" w:rsidP="00B312D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B312DC" w:rsidRPr="00CF2E7C" w:rsidRDefault="00B312DC" w:rsidP="00B312D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B312DC" w:rsidRPr="00CF2E7C" w:rsidRDefault="00B312DC" w:rsidP="00B312D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B312DC" w:rsidRPr="00CF2E7C" w:rsidRDefault="00B312DC" w:rsidP="00B312D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364FD8D4" w:rsidR="00B312DC" w:rsidRPr="00CF2E7C" w:rsidRDefault="00B312DC" w:rsidP="00B312DC">
            <w:pPr>
              <w:shd w:val="clear" w:color="auto" w:fill="FFFFFF" w:themeFill="background1"/>
              <w:spacing w:before="40" w:after="40"/>
              <w:rPr>
                <w:rFonts w:ascii="Calibri" w:hAnsi="Calibri" w:cs="Calibri"/>
              </w:rPr>
            </w:pPr>
            <w:r>
              <w:rPr>
                <w:rFonts w:ascii="Calibri" w:hAnsi="Calibri" w:cs="Calibri"/>
              </w:rPr>
              <w:t>X</w:t>
            </w:r>
          </w:p>
        </w:tc>
      </w:tr>
      <w:tr w:rsidR="00B312DC"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B312DC" w:rsidRPr="00CF2E7C" w:rsidRDefault="00B312DC" w:rsidP="00B312D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B312DC" w:rsidRPr="00CF2E7C" w:rsidRDefault="00B312DC" w:rsidP="00B312D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B312DC" w:rsidRPr="00CF2E7C" w:rsidRDefault="00B312DC" w:rsidP="00B312D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B312DC" w:rsidRPr="00CF2E7C" w:rsidRDefault="00B312DC" w:rsidP="00B312D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1CECC10B" w:rsidR="00B312DC" w:rsidRPr="00CF2E7C" w:rsidRDefault="00B312DC" w:rsidP="00B312DC">
            <w:pPr>
              <w:shd w:val="clear" w:color="auto" w:fill="FFFFFF" w:themeFill="background1"/>
              <w:spacing w:before="40" w:after="40"/>
              <w:rPr>
                <w:rFonts w:ascii="Calibri" w:hAnsi="Calibri" w:cs="Calibri"/>
              </w:rPr>
            </w:pPr>
            <w:r>
              <w:rPr>
                <w:rFonts w:ascii="Calibri" w:hAnsi="Calibri" w:cs="Calibri"/>
              </w:rPr>
              <w:t>X</w:t>
            </w:r>
          </w:p>
        </w:tc>
      </w:tr>
      <w:tr w:rsidR="00B312DC"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B312DC" w:rsidRPr="00CF2E7C" w:rsidRDefault="00B312DC" w:rsidP="00B312D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B312DC" w:rsidRPr="00CF2E7C" w:rsidRDefault="00B312DC" w:rsidP="00B312D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B312DC" w:rsidRPr="00CF2E7C" w:rsidRDefault="00B312DC" w:rsidP="00B312D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B312DC" w:rsidRPr="00CF2E7C" w:rsidRDefault="00B312DC" w:rsidP="00B312D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3B71A023" w:rsidR="00B312DC" w:rsidRPr="00CF2E7C" w:rsidRDefault="00B312DC" w:rsidP="00B312DC">
            <w:pPr>
              <w:shd w:val="clear" w:color="auto" w:fill="FFFFFF" w:themeFill="background1"/>
              <w:spacing w:before="40" w:after="40"/>
              <w:rPr>
                <w:rFonts w:ascii="Calibri" w:hAnsi="Calibri" w:cs="Calibri"/>
              </w:rPr>
            </w:pPr>
            <w:r>
              <w:rPr>
                <w:rFonts w:ascii="Calibri" w:hAnsi="Calibri" w:cs="Calibri"/>
              </w:rPr>
              <w:t>X</w:t>
            </w:r>
          </w:p>
        </w:tc>
      </w:tr>
      <w:tr w:rsidR="00B312DC"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B312DC" w:rsidRPr="00CF2E7C" w:rsidRDefault="00B312DC" w:rsidP="00B312D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B312DC" w:rsidRPr="00CF2E7C" w:rsidRDefault="00B312DC" w:rsidP="00B312D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B312DC" w:rsidRPr="00CF2E7C" w:rsidRDefault="00B312DC" w:rsidP="00B312D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B312DC" w:rsidRPr="00CF2E7C" w:rsidRDefault="00B312DC" w:rsidP="00B312D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34B89647" w:rsidR="00B312DC" w:rsidRPr="00CF2E7C" w:rsidRDefault="00B312DC" w:rsidP="00B312DC">
            <w:pPr>
              <w:shd w:val="clear" w:color="auto" w:fill="FFFFFF" w:themeFill="background1"/>
              <w:spacing w:before="40" w:after="40"/>
              <w:rPr>
                <w:rFonts w:ascii="Calibri" w:hAnsi="Calibri" w:cs="Calibri"/>
              </w:rPr>
            </w:pPr>
            <w:r>
              <w:rPr>
                <w:rFonts w:ascii="Calibri" w:hAnsi="Calibri" w:cs="Calibri"/>
              </w:rPr>
              <w:t>X</w:t>
            </w:r>
          </w:p>
        </w:tc>
      </w:tr>
      <w:tr w:rsidR="00B312DC"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B312DC" w:rsidRPr="00CF2E7C" w:rsidRDefault="00B312DC" w:rsidP="00B312D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B312DC" w:rsidRPr="00CF2E7C" w:rsidRDefault="00B312DC" w:rsidP="00B312D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B312DC" w:rsidRPr="00CF2E7C" w:rsidRDefault="00B312DC" w:rsidP="00B312D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B312DC" w:rsidRPr="00CF2E7C" w:rsidRDefault="00B312DC" w:rsidP="00B312D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2BE60AD" w:rsidR="00B312DC" w:rsidRPr="00CF2E7C" w:rsidRDefault="00B312DC" w:rsidP="00B312DC">
            <w:pPr>
              <w:shd w:val="clear" w:color="auto" w:fill="FFFFFF" w:themeFill="background1"/>
              <w:spacing w:before="40" w:after="40"/>
              <w:rPr>
                <w:rFonts w:ascii="Calibri" w:hAnsi="Calibri" w:cs="Calibri"/>
              </w:rPr>
            </w:pPr>
            <w:r>
              <w:rPr>
                <w:rFonts w:ascii="Calibri" w:hAnsi="Calibri" w:cs="Calibri"/>
              </w:rPr>
              <w:t>X</w:t>
            </w:r>
          </w:p>
        </w:tc>
      </w:tr>
      <w:tr w:rsidR="00B312DC"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B312DC" w:rsidRPr="00CF2E7C" w:rsidRDefault="00B312DC" w:rsidP="00B312D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B312DC" w:rsidRPr="00CF2E7C" w:rsidRDefault="00B312DC" w:rsidP="00B312D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B312DC" w:rsidRPr="00CF2E7C" w:rsidRDefault="00B312DC" w:rsidP="00B312D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B312DC" w:rsidRPr="00CF2E7C" w:rsidRDefault="00B312DC" w:rsidP="00B312D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09CE0833" w:rsidR="00B312DC" w:rsidRPr="00CF2E7C" w:rsidRDefault="00B312DC" w:rsidP="00B312DC">
            <w:pPr>
              <w:shd w:val="clear" w:color="auto" w:fill="FFFFFF" w:themeFill="background1"/>
              <w:spacing w:before="40" w:after="40"/>
              <w:rPr>
                <w:rFonts w:ascii="Calibri" w:hAnsi="Calibri" w:cs="Calibri"/>
              </w:rPr>
            </w:pPr>
            <w:r>
              <w:rPr>
                <w:rFonts w:ascii="Calibri" w:hAnsi="Calibri" w:cs="Calibri"/>
              </w:rPr>
              <w:t>X</w:t>
            </w:r>
          </w:p>
        </w:tc>
      </w:tr>
      <w:tr w:rsidR="00B312DC"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B312DC" w:rsidRPr="00CF2E7C" w:rsidRDefault="00B312DC" w:rsidP="00B312D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B312DC" w:rsidRPr="00CF2E7C" w:rsidRDefault="00B312DC" w:rsidP="00B312D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B312DC"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B312DC" w:rsidRPr="00CF2E7C" w:rsidRDefault="00B312DC" w:rsidP="00B312D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B312DC" w:rsidRPr="00CF2E7C" w:rsidRDefault="00B312DC" w:rsidP="00B312DC">
            <w:pPr>
              <w:rPr>
                <w:rFonts w:ascii="Calibri" w:hAnsi="Calibri" w:cs="Calibri"/>
              </w:rPr>
            </w:pPr>
          </w:p>
        </w:tc>
      </w:tr>
      <w:tr w:rsidR="00B312DC"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B312DC" w:rsidRPr="00CF2E7C" w:rsidRDefault="00B312DC" w:rsidP="00B312D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B312DC" w:rsidRPr="00CF2E7C" w:rsidRDefault="00B312DC" w:rsidP="00B312D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312DC"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B312DC" w:rsidRPr="00CF2E7C" w:rsidRDefault="00B312DC" w:rsidP="00B312D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B312DC" w:rsidRPr="00CF2E7C" w:rsidRDefault="00B312DC" w:rsidP="00B312DC">
            <w:pPr>
              <w:rPr>
                <w:rFonts w:ascii="Calibri" w:eastAsia="Times New Roman" w:hAnsi="Calibri" w:cs="Calibri"/>
                <w:kern w:val="0"/>
                <w:lang w:eastAsia="en-GB"/>
                <w14:ligatures w14:val="none"/>
              </w:rPr>
            </w:pPr>
          </w:p>
        </w:tc>
      </w:tr>
    </w:tbl>
    <w:p w14:paraId="2AF280E9" w14:textId="58070803" w:rsidR="33822AF7" w:rsidRDefault="007E6F12" w:rsidP="007C2FBD">
      <w:pPr>
        <w:pStyle w:val="DocID"/>
      </w:pPr>
      <w:fldSimple w:instr=" DOCPROPERTY DOCXDOCID DMS=IManage Format=&lt;&lt;NUM&gt;&gt;v.&lt;&lt;VER&gt;&gt; \* MERGEFORMAT ">
        <w:r w:rsidR="007472B6" w:rsidRPr="007C2FBD">
          <w:t>530605770v.1</w:t>
        </w:r>
      </w:fldSimple>
    </w:p>
    <w:sectPr w:rsidR="33822AF7" w:rsidSect="00E20574">
      <w:headerReference w:type="default" r:id="rId22"/>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7741125" w14:textId="77777777" w:rsidR="00897A30" w:rsidRDefault="00897A30" w:rsidP="00874E39">
      <w:r>
        <w:separator/>
      </w:r>
    </w:p>
  </w:endnote>
  <w:endnote w:type="continuationSeparator" w:id="0">
    <w:p w14:paraId="00C6DBA2" w14:textId="77777777" w:rsidR="00897A30" w:rsidRDefault="00897A30" w:rsidP="00874E39">
      <w:r>
        <w:continuationSeparator/>
      </w:r>
    </w:p>
  </w:endnote>
  <w:endnote w:type="continuationNotice" w:id="1">
    <w:p w14:paraId="439802A8" w14:textId="77777777" w:rsidR="00897A30" w:rsidRDefault="00897A3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7690A8D7"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1998FD8" w14:textId="77777777" w:rsidR="00897A30" w:rsidRDefault="00897A30" w:rsidP="00874E39">
      <w:r>
        <w:separator/>
      </w:r>
    </w:p>
  </w:footnote>
  <w:footnote w:type="continuationSeparator" w:id="0">
    <w:p w14:paraId="61FA475F" w14:textId="77777777" w:rsidR="00897A30" w:rsidRDefault="00897A30" w:rsidP="00874E39">
      <w:r>
        <w:continuationSeparator/>
      </w:r>
    </w:p>
  </w:footnote>
  <w:footnote w:type="continuationNotice" w:id="1">
    <w:p w14:paraId="2610CC25" w14:textId="77777777" w:rsidR="00897A30" w:rsidRDefault="00897A30"/>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6487BB9" w14:textId="77777777" w:rsidR="007E6F12" w:rsidRDefault="007E6F1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96EC8D5" w14:textId="77777777" w:rsidR="007E6F12" w:rsidRDefault="007E6F12">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1A0369"/>
    <w:multiLevelType w:val="hybridMultilevel"/>
    <w:tmpl w:val="B114F8C0"/>
    <w:lvl w:ilvl="0" w:tplc="5FE664F6">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185727A"/>
    <w:multiLevelType w:val="hybridMultilevel"/>
    <w:tmpl w:val="FB826E4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3"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4"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5"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6"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7"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8"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9" w15:restartNumberingAfterBreak="0">
    <w:nsid w:val="125576CB"/>
    <w:multiLevelType w:val="hybridMultilevel"/>
    <w:tmpl w:val="5C0E09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11"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12"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3" w15:restartNumberingAfterBreak="0">
    <w:nsid w:val="1EB36B3B"/>
    <w:multiLevelType w:val="hybridMultilevel"/>
    <w:tmpl w:val="01FEAD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5"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6"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7"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8"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9"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20"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21"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22"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3"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4"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5"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6"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7"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8"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9"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30"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31"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2"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3"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4"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5"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6"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7"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8"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9"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40"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2"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3"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4"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5"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6" w15:restartNumberingAfterBreak="0">
    <w:nsid w:val="6A2F5221"/>
    <w:multiLevelType w:val="hybridMultilevel"/>
    <w:tmpl w:val="076AAB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8"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9"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50"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51"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2"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20"/>
  </w:num>
  <w:num w:numId="2" w16cid:durableId="482308869">
    <w:abstractNumId w:val="27"/>
  </w:num>
  <w:num w:numId="3" w16cid:durableId="690952733">
    <w:abstractNumId w:val="45"/>
  </w:num>
  <w:num w:numId="4" w16cid:durableId="1689330127">
    <w:abstractNumId w:val="3"/>
  </w:num>
  <w:num w:numId="5" w16cid:durableId="401291788">
    <w:abstractNumId w:val="32"/>
  </w:num>
  <w:num w:numId="6" w16cid:durableId="1276788690">
    <w:abstractNumId w:val="17"/>
  </w:num>
  <w:num w:numId="7" w16cid:durableId="566767730">
    <w:abstractNumId w:val="24"/>
  </w:num>
  <w:num w:numId="8" w16cid:durableId="1780710843">
    <w:abstractNumId w:val="38"/>
  </w:num>
  <w:num w:numId="9" w16cid:durableId="1685783054">
    <w:abstractNumId w:val="5"/>
  </w:num>
  <w:num w:numId="10" w16cid:durableId="950551298">
    <w:abstractNumId w:val="35"/>
  </w:num>
  <w:num w:numId="11" w16cid:durableId="1591960799">
    <w:abstractNumId w:val="52"/>
  </w:num>
  <w:num w:numId="12" w16cid:durableId="1344891410">
    <w:abstractNumId w:val="12"/>
  </w:num>
  <w:num w:numId="13" w16cid:durableId="2023899324">
    <w:abstractNumId w:val="15"/>
  </w:num>
  <w:num w:numId="14" w16cid:durableId="430587014">
    <w:abstractNumId w:val="10"/>
  </w:num>
  <w:num w:numId="15" w16cid:durableId="1742869061">
    <w:abstractNumId w:val="34"/>
  </w:num>
  <w:num w:numId="16" w16cid:durableId="1996450437">
    <w:abstractNumId w:val="23"/>
  </w:num>
  <w:num w:numId="17" w16cid:durableId="1529031027">
    <w:abstractNumId w:val="11"/>
  </w:num>
  <w:num w:numId="18" w16cid:durableId="568614617">
    <w:abstractNumId w:val="21"/>
  </w:num>
  <w:num w:numId="19" w16cid:durableId="1530605858">
    <w:abstractNumId w:val="47"/>
  </w:num>
  <w:num w:numId="20" w16cid:durableId="1328172586">
    <w:abstractNumId w:val="19"/>
  </w:num>
  <w:num w:numId="21" w16cid:durableId="184827816">
    <w:abstractNumId w:val="31"/>
  </w:num>
  <w:num w:numId="22" w16cid:durableId="1785346599">
    <w:abstractNumId w:val="37"/>
  </w:num>
  <w:num w:numId="23" w16cid:durableId="1294288901">
    <w:abstractNumId w:val="30"/>
  </w:num>
  <w:num w:numId="24" w16cid:durableId="1603957975">
    <w:abstractNumId w:val="49"/>
  </w:num>
  <w:num w:numId="25" w16cid:durableId="1659531047">
    <w:abstractNumId w:val="48"/>
  </w:num>
  <w:num w:numId="26" w16cid:durableId="752774403">
    <w:abstractNumId w:val="26"/>
  </w:num>
  <w:num w:numId="27" w16cid:durableId="347872198">
    <w:abstractNumId w:val="8"/>
  </w:num>
  <w:num w:numId="28" w16cid:durableId="537133110">
    <w:abstractNumId w:val="16"/>
  </w:num>
  <w:num w:numId="29" w16cid:durableId="1632318729">
    <w:abstractNumId w:val="50"/>
  </w:num>
  <w:num w:numId="30" w16cid:durableId="1268124074">
    <w:abstractNumId w:val="36"/>
  </w:num>
  <w:num w:numId="31" w16cid:durableId="887108748">
    <w:abstractNumId w:val="33"/>
  </w:num>
  <w:num w:numId="32" w16cid:durableId="1826125712">
    <w:abstractNumId w:val="39"/>
  </w:num>
  <w:num w:numId="33" w16cid:durableId="823357978">
    <w:abstractNumId w:val="43"/>
  </w:num>
  <w:num w:numId="34" w16cid:durableId="1092120443">
    <w:abstractNumId w:val="42"/>
  </w:num>
  <w:num w:numId="35" w16cid:durableId="124861188">
    <w:abstractNumId w:val="14"/>
  </w:num>
  <w:num w:numId="36" w16cid:durableId="1952588250">
    <w:abstractNumId w:val="41"/>
  </w:num>
  <w:num w:numId="37" w16cid:durableId="1712027211">
    <w:abstractNumId w:val="6"/>
  </w:num>
  <w:num w:numId="38" w16cid:durableId="2033795929">
    <w:abstractNumId w:val="4"/>
  </w:num>
  <w:num w:numId="39" w16cid:durableId="1238595582">
    <w:abstractNumId w:val="28"/>
  </w:num>
  <w:num w:numId="40" w16cid:durableId="416558262">
    <w:abstractNumId w:val="25"/>
  </w:num>
  <w:num w:numId="41" w16cid:durableId="1543715517">
    <w:abstractNumId w:val="22"/>
  </w:num>
  <w:num w:numId="42" w16cid:durableId="452208391">
    <w:abstractNumId w:val="18"/>
  </w:num>
  <w:num w:numId="43" w16cid:durableId="260340070">
    <w:abstractNumId w:val="2"/>
  </w:num>
  <w:num w:numId="44" w16cid:durableId="1639914969">
    <w:abstractNumId w:val="7"/>
  </w:num>
  <w:num w:numId="45" w16cid:durableId="1554191892">
    <w:abstractNumId w:val="44"/>
  </w:num>
  <w:num w:numId="46" w16cid:durableId="947811845">
    <w:abstractNumId w:val="51"/>
  </w:num>
  <w:num w:numId="47" w16cid:durableId="342588554">
    <w:abstractNumId w:val="29"/>
  </w:num>
  <w:num w:numId="48" w16cid:durableId="318391343">
    <w:abstractNumId w:val="40"/>
  </w:num>
  <w:num w:numId="49" w16cid:durableId="1801922029">
    <w:abstractNumId w:val="13"/>
  </w:num>
  <w:num w:numId="50" w16cid:durableId="1472863350">
    <w:abstractNumId w:val="9"/>
  </w:num>
  <w:num w:numId="51" w16cid:durableId="1782138992">
    <w:abstractNumId w:val="0"/>
  </w:num>
  <w:num w:numId="52" w16cid:durableId="1322466857">
    <w:abstractNumId w:val="46"/>
  </w:num>
  <w:num w:numId="53" w16cid:durableId="850071542">
    <w:abstractNumId w:val="1"/>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6"/>
  <w:proofState w:spelling="clean" w:grammar="clean"/>
  <w:trackRevisions/>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577"/>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0D0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3880"/>
    <w:rsid w:val="000D4A09"/>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26FC2"/>
    <w:rsid w:val="00134550"/>
    <w:rsid w:val="00134681"/>
    <w:rsid w:val="001367AB"/>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21C"/>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658"/>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5EB"/>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2CC3"/>
    <w:rsid w:val="003340FE"/>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6F05"/>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2E1"/>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2A7"/>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CB0"/>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5BC"/>
    <w:rsid w:val="004D2730"/>
    <w:rsid w:val="004D3416"/>
    <w:rsid w:val="004D5810"/>
    <w:rsid w:val="004D6484"/>
    <w:rsid w:val="004D7C53"/>
    <w:rsid w:val="004E4F56"/>
    <w:rsid w:val="004E51B5"/>
    <w:rsid w:val="004F0C55"/>
    <w:rsid w:val="004F276F"/>
    <w:rsid w:val="004F48E8"/>
    <w:rsid w:val="004F5354"/>
    <w:rsid w:val="004F691F"/>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4E9E"/>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2A8"/>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4F3"/>
    <w:rsid w:val="006D0F88"/>
    <w:rsid w:val="006D261A"/>
    <w:rsid w:val="006D2944"/>
    <w:rsid w:val="006D43AA"/>
    <w:rsid w:val="006D4C70"/>
    <w:rsid w:val="006D5605"/>
    <w:rsid w:val="006E114C"/>
    <w:rsid w:val="006E18FD"/>
    <w:rsid w:val="006E23C1"/>
    <w:rsid w:val="006E42E6"/>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23F"/>
    <w:rsid w:val="00707D5E"/>
    <w:rsid w:val="00707F76"/>
    <w:rsid w:val="00711F61"/>
    <w:rsid w:val="007130D4"/>
    <w:rsid w:val="00714103"/>
    <w:rsid w:val="00714E43"/>
    <w:rsid w:val="00717C33"/>
    <w:rsid w:val="007201B1"/>
    <w:rsid w:val="00722AE9"/>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472B6"/>
    <w:rsid w:val="00750A02"/>
    <w:rsid w:val="00752CD3"/>
    <w:rsid w:val="00753427"/>
    <w:rsid w:val="0075345B"/>
    <w:rsid w:val="0075419A"/>
    <w:rsid w:val="00754C24"/>
    <w:rsid w:val="007554FA"/>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73"/>
    <w:rsid w:val="007B7DEE"/>
    <w:rsid w:val="007B7FD7"/>
    <w:rsid w:val="007C2EAF"/>
    <w:rsid w:val="007C2FBD"/>
    <w:rsid w:val="007C32D8"/>
    <w:rsid w:val="007C3BD3"/>
    <w:rsid w:val="007C3CB6"/>
    <w:rsid w:val="007C5200"/>
    <w:rsid w:val="007C77AA"/>
    <w:rsid w:val="007D33C4"/>
    <w:rsid w:val="007D3472"/>
    <w:rsid w:val="007D366D"/>
    <w:rsid w:val="007D4EBE"/>
    <w:rsid w:val="007D5868"/>
    <w:rsid w:val="007D61F4"/>
    <w:rsid w:val="007D6B20"/>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12"/>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21EF"/>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2AB1"/>
    <w:rsid w:val="00862EB9"/>
    <w:rsid w:val="00864101"/>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97A30"/>
    <w:rsid w:val="008A0461"/>
    <w:rsid w:val="008A093D"/>
    <w:rsid w:val="008A1D8E"/>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8F7678"/>
    <w:rsid w:val="00900BE0"/>
    <w:rsid w:val="00901BF4"/>
    <w:rsid w:val="00901C62"/>
    <w:rsid w:val="00902595"/>
    <w:rsid w:val="0090264D"/>
    <w:rsid w:val="00902E41"/>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424"/>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1698"/>
    <w:rsid w:val="00A53328"/>
    <w:rsid w:val="00A53874"/>
    <w:rsid w:val="00A55B96"/>
    <w:rsid w:val="00A56BE5"/>
    <w:rsid w:val="00A56DE0"/>
    <w:rsid w:val="00A57722"/>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2981"/>
    <w:rsid w:val="00A84C61"/>
    <w:rsid w:val="00A8625C"/>
    <w:rsid w:val="00A86DFE"/>
    <w:rsid w:val="00A870CA"/>
    <w:rsid w:val="00A87442"/>
    <w:rsid w:val="00A90D91"/>
    <w:rsid w:val="00A93112"/>
    <w:rsid w:val="00A932DE"/>
    <w:rsid w:val="00A9656E"/>
    <w:rsid w:val="00AA186B"/>
    <w:rsid w:val="00AA38F6"/>
    <w:rsid w:val="00AA4965"/>
    <w:rsid w:val="00AA6DDB"/>
    <w:rsid w:val="00AA74F6"/>
    <w:rsid w:val="00AB0830"/>
    <w:rsid w:val="00AB2CCC"/>
    <w:rsid w:val="00AB4F2C"/>
    <w:rsid w:val="00AB64F8"/>
    <w:rsid w:val="00AC6ECF"/>
    <w:rsid w:val="00AC7B6B"/>
    <w:rsid w:val="00AD0267"/>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0FB6"/>
    <w:rsid w:val="00B22535"/>
    <w:rsid w:val="00B2441D"/>
    <w:rsid w:val="00B24E10"/>
    <w:rsid w:val="00B25E7E"/>
    <w:rsid w:val="00B2670C"/>
    <w:rsid w:val="00B310C1"/>
    <w:rsid w:val="00B312DC"/>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8D9"/>
    <w:rsid w:val="00B90D29"/>
    <w:rsid w:val="00B90F5B"/>
    <w:rsid w:val="00B9130E"/>
    <w:rsid w:val="00B91B0A"/>
    <w:rsid w:val="00B93871"/>
    <w:rsid w:val="00B93EA9"/>
    <w:rsid w:val="00B944C1"/>
    <w:rsid w:val="00B9495C"/>
    <w:rsid w:val="00B94A0E"/>
    <w:rsid w:val="00B95827"/>
    <w:rsid w:val="00B95988"/>
    <w:rsid w:val="00BA01DD"/>
    <w:rsid w:val="00BA0357"/>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7D0"/>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365"/>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8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BDC"/>
    <w:rsid w:val="00CE0CAF"/>
    <w:rsid w:val="00CE46AE"/>
    <w:rsid w:val="00CE6394"/>
    <w:rsid w:val="00CF01F9"/>
    <w:rsid w:val="00CF0A09"/>
    <w:rsid w:val="00CF12B7"/>
    <w:rsid w:val="00CF14E8"/>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630B"/>
    <w:rsid w:val="00D07A89"/>
    <w:rsid w:val="00D1145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244A"/>
    <w:rsid w:val="00D23119"/>
    <w:rsid w:val="00D241D4"/>
    <w:rsid w:val="00D24A69"/>
    <w:rsid w:val="00D25520"/>
    <w:rsid w:val="00D25C5F"/>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1239"/>
    <w:rsid w:val="00D637B2"/>
    <w:rsid w:val="00D6386F"/>
    <w:rsid w:val="00D66DDD"/>
    <w:rsid w:val="00D67EB7"/>
    <w:rsid w:val="00D70367"/>
    <w:rsid w:val="00D73913"/>
    <w:rsid w:val="00D7554F"/>
    <w:rsid w:val="00D765DD"/>
    <w:rsid w:val="00D76854"/>
    <w:rsid w:val="00D80C46"/>
    <w:rsid w:val="00D8157F"/>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0C"/>
    <w:rsid w:val="00DD292A"/>
    <w:rsid w:val="00DD3144"/>
    <w:rsid w:val="00DD35ED"/>
    <w:rsid w:val="00DD3B33"/>
    <w:rsid w:val="00DD4AEB"/>
    <w:rsid w:val="00DD694D"/>
    <w:rsid w:val="00DD72BD"/>
    <w:rsid w:val="00DD75B6"/>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BED"/>
    <w:rsid w:val="00E37C8B"/>
    <w:rsid w:val="00E37ECE"/>
    <w:rsid w:val="00E40176"/>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4B6B"/>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3D5A"/>
    <w:rsid w:val="00EF4A01"/>
    <w:rsid w:val="00EF56B9"/>
    <w:rsid w:val="00EF593B"/>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91D"/>
    <w:rsid w:val="00F52E73"/>
    <w:rsid w:val="00F52F6F"/>
    <w:rsid w:val="00F53433"/>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0D85"/>
    <w:rsid w:val="00FA119A"/>
    <w:rsid w:val="00FA2D54"/>
    <w:rsid w:val="00FA38D8"/>
    <w:rsid w:val="00FA4B8D"/>
    <w:rsid w:val="00FA6DED"/>
    <w:rsid w:val="00FA76DF"/>
    <w:rsid w:val="00FA78EA"/>
    <w:rsid w:val="00FB5A70"/>
    <w:rsid w:val="00FC0689"/>
    <w:rsid w:val="00FC13F0"/>
    <w:rsid w:val="00FC337B"/>
    <w:rsid w:val="00FC3B40"/>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42BC"/>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paragraph" w:customStyle="1" w:styleId="DocID">
    <w:name w:val="DocID"/>
    <w:rsid w:val="007E6F12"/>
    <w:rPr>
      <w:rFonts w:ascii="Times New Roman" w:eastAsia="Times New Roman" w:hAnsi="Times New Roman" w:cs="Times New Roman"/>
      <w:kern w:val="0"/>
      <w:sz w:val="18"/>
      <w:lang w:val="en-US"/>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2820597">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0049825">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header" Target="header1.xml" Id="rId13" /><Relationship Type="http://schemas.openxmlformats.org/officeDocument/2006/relationships/footer" Target="footer3.xml" Id="rId18" /><Relationship Type="http://schemas.openxmlformats.org/officeDocument/2006/relationships/customXml" Target="../customXml/item3.xml" Id="rId3" /><Relationship Type="http://schemas.openxmlformats.org/officeDocument/2006/relationships/hyperlink" Target="https://www.fsb.org/uploads/P131022-1.pdf" TargetMode="External" Id="rId21" /><Relationship Type="http://schemas.openxmlformats.org/officeDocument/2006/relationships/settings" Target="settings.xml" Id="rId7" /><Relationship Type="http://schemas.openxmlformats.org/officeDocument/2006/relationships/hyperlink" Target="https://docs.google.com/document/d/1uXHsk-NOQj-p8fVEu_q7Q6E2i-E1qxWsR3VOFB2jDHw/edit?tab=t.0" TargetMode="External" Id="rId12" /><Relationship Type="http://schemas.openxmlformats.org/officeDocument/2006/relationships/header" Target="header3.xml" Id="rId17" /><Relationship Type="http://schemas.openxmlformats.org/officeDocument/2006/relationships/customXml" Target="../customXml/item2.xml" Id="rId2" /><Relationship Type="http://schemas.openxmlformats.org/officeDocument/2006/relationships/footer" Target="footer2.xml" Id="rId16" /><Relationship Type="http://schemas.openxmlformats.org/officeDocument/2006/relationships/hyperlink" Target="https://www.bis.org/fsi/fsibriefs18.pdf" TargetMode="External" Id="rId20"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hyperlink" Target="mailto:netzerohub@bsg.ox.ac.uk" TargetMode="External" Id="rId11" /><Relationship Type="http://schemas.openxmlformats.org/officeDocument/2006/relationships/theme" Target="theme/theme1.xml" Id="rId24" /><Relationship Type="http://schemas.openxmlformats.org/officeDocument/2006/relationships/numbering" Target="numbering.xml" Id="rId5" /><Relationship Type="http://schemas.openxmlformats.org/officeDocument/2006/relationships/footer" Target="footer1.xml" Id="rId15" /><Relationship Type="http://schemas.openxmlformats.org/officeDocument/2006/relationships/fontTable" Target="fontTable.xml" Id="rId23" /><Relationship Type="http://schemas.openxmlformats.org/officeDocument/2006/relationships/endnotes" Target="endnotes.xml" Id="rId10" /><Relationship Type="http://schemas.openxmlformats.org/officeDocument/2006/relationships/hyperlink" Target="https://wayback-api.archive.org/web/20250620174022/https:/regulations.justia.com/states/california/title-14/division-2/chapter-4/subchapter-1/article-5/" TargetMode="External" Id="rId19"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header" Target="header2.xml" Id="rId14" /><Relationship Type="http://schemas.openxmlformats.org/officeDocument/2006/relationships/header" Target="header4.xml" Id="rId22" /><Relationship Type="http://schemas.openxmlformats.org/officeDocument/2006/relationships/customXml" Target="/customXML/item5.xml" Id="imanage.xml" /></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5.xml.rels>&#65279;<?xml version="1.0" encoding="utf-8"?><Relationships xmlns="http://schemas.openxmlformats.org/package/2006/relationships"><Relationship Type="http://schemas.openxmlformats.org/officeDocument/2006/relationships/customXmlProps" Target="/customXML/itemProps5.xml" Id="iManageProps" /></Relationships>
</file>

<file path=customXML/item5.xml><?xml version="1.0" encoding="utf-8"?>
<properties xmlns="http://www.imanage.com/work/xmlschema">
  <documentid>Active!530605770.1</documentid>
  <senderid>GMCCOLL</senderid>
  <senderemail>GMCCOLL@MINTZ.COM</senderemail>
  <lastmodified>2025-06-23T08:18:00.0000000-04:00</lastmodified>
  <database>Active</database>
</properties>
</file>

<file path=customXML/itemProps5.xml><?xml version="1.0" encoding="utf-8"?>
<ds:datastoreItem xmlns:ds="http://schemas.openxmlformats.org/officeDocument/2006/customXml" ds:itemID="{4691965A-677C-47CC-BCF5-4546E2858463}">
  <ds:schemaRefs>
    <ds:schemaRef ds:uri="http://schemas.openxmlformats.org/officeDocument/2006/bibliography"/>
  </ds:schemaRefs>
</ds:datastoreItem>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114</Pages>
  <Words>22184</Words>
  <Characters>132000</Characters>
  <Application>Microsoft Office Word</Application>
  <DocSecurity>0</DocSecurity>
  <Lines>8250</Lines>
  <Paragraphs>4672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149512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McColl, Grace</cp:lastModifiedBy>
  <cp:revision>5</cp:revision>
  <cp:lastPrinted>2025-03-21T00:14:00Z</cp:lastPrinted>
  <dcterms:created xsi:type="dcterms:W3CDTF">2025-06-23T12:17:00Z</dcterms:created>
  <dcterms:modified xsi:type="dcterms:W3CDTF">2025-06-23T12:18:00Z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DOCXDOCID">
    <vt:lpwstr>530605770v.1</vt:lpwstr>
  </property>
  <property fmtid="{D5CDD505-2E9C-101B-9397-08002B2CF9AE}" pid="5" name="DocXFormat">
    <vt:lpwstr>DocID</vt:lpwstr>
  </property>
  <property fmtid="{D5CDD505-2E9C-101B-9397-08002B2CF9AE}" pid="6" name="DocXLocation">
    <vt:lpwstr>EndOfDocument</vt:lpwstr>
  </property>
</Properties>
</file>